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Lines="50" w:before="156" w:afterLines="50" w:after="156" w:line="276" w:lineRule="auto"/>
        <w:jc w:val="center"/>
        <w:rPr>
          <w:rFonts w:ascii="黑体" w:eastAsia="黑体" w:hAnsi="黑体"/>
          <w:b/>
          <w:sz w:val="28"/>
          <w:szCs w:val="44"/>
        </w:rPr>
      </w:pPr>
      <w:r>
        <w:rPr>
          <w:rFonts w:ascii="黑体" w:eastAsia="黑体" w:hAnsi="黑体" w:hint="eastAsia"/>
          <w:b/>
          <w:sz w:val="28"/>
          <w:szCs w:val="44"/>
        </w:rPr>
        <w:t>送样须知（必看）</w:t>
      </w:r>
    </w:p>
    <w:p>
      <w:pPr>
        <w:pStyle w:val="af"/>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送样前必须预先通知我方任何与委托测试服务有关的实际的或潜在的风险，如因</w:t>
      </w:r>
      <w:r>
        <w:rPr>
          <w:rFonts w:ascii="宋体" w:hAnsi="宋体" w:cs="宋体" w:hint="eastAsia"/>
          <w:b/>
          <w:color w:val="FF0000"/>
          <w:sz w:val="18"/>
          <w:szCs w:val="21"/>
        </w:rPr>
        <w:t>委托方隐瞒样品的危害而造成检测人员或仪器出现问题一切后果由委托方负责</w:t>
      </w:r>
      <w:r>
        <w:rPr>
          <w:rFonts w:ascii="宋体" w:hAnsi="宋体" w:cs="宋体" w:hint="eastAsia"/>
          <w:bCs/>
          <w:sz w:val="18"/>
          <w:szCs w:val="21"/>
        </w:rPr>
        <w:t>。</w:t>
      </w:r>
    </w:p>
    <w:p>
      <w:pPr>
        <w:pStyle w:val="af"/>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委托方须在送样委托单中详细填写检测要求，我方会严格按照检测要求进行测试。我方仅对检测要求以内的测试问题负责，不承担摸索合适测试条件责任（提前约定除外），因</w:t>
      </w:r>
      <w:r>
        <w:rPr>
          <w:rFonts w:ascii="宋体" w:hAnsi="宋体" w:cs="宋体" w:hint="eastAsia"/>
          <w:b/>
          <w:color w:val="FF0000"/>
          <w:sz w:val="18"/>
          <w:szCs w:val="21"/>
        </w:rPr>
        <w:t>未填写测试要求、测试要求不明确或者测试要求错误导致的测试问题，需由委托方自行承担，如需复测需重新收费</w:t>
      </w:r>
      <w:r>
        <w:rPr>
          <w:rFonts w:ascii="宋体" w:hAnsi="宋体" w:cs="宋体" w:hint="eastAsia"/>
          <w:bCs/>
          <w:sz w:val="18"/>
          <w:szCs w:val="21"/>
        </w:rPr>
        <w:t>。</w:t>
      </w:r>
    </w:p>
    <w:p>
      <w:pPr>
        <w:pStyle w:val="af"/>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委托方如对检测结果有异议，须在</w:t>
      </w:r>
      <w:r>
        <w:rPr>
          <w:rFonts w:ascii="宋体" w:hAnsi="宋体" w:cs="宋体" w:hint="eastAsia"/>
          <w:b/>
          <w:bCs/>
          <w:color w:val="FF0000"/>
          <w:sz w:val="18"/>
          <w:szCs w:val="21"/>
        </w:rPr>
        <w:t>结果发送</w:t>
      </w:r>
      <w:r>
        <w:rPr>
          <w:rFonts w:ascii="宋体" w:hAnsi="宋体" w:cs="宋体" w:hint="eastAsia"/>
          <w:b/>
          <w:color w:val="FF0000"/>
          <w:sz w:val="18"/>
          <w:szCs w:val="21"/>
        </w:rPr>
        <w:t>5天内</w:t>
      </w:r>
      <w:r>
        <w:rPr>
          <w:rFonts w:ascii="宋体" w:hAnsi="宋体" w:cs="宋体" w:hint="eastAsia"/>
          <w:bCs/>
          <w:sz w:val="18"/>
          <w:szCs w:val="21"/>
        </w:rPr>
        <w:t>与我方工作人员进行沟通说明，</w:t>
      </w:r>
      <w:r>
        <w:rPr>
          <w:rFonts w:ascii="宋体" w:hAnsi="宋体" w:cs="宋体" w:hint="eastAsia"/>
          <w:b/>
          <w:bCs/>
          <w:color w:val="FF0000"/>
          <w:sz w:val="18"/>
          <w:szCs w:val="21"/>
        </w:rPr>
        <w:t>超过5天则默认对检测结果无异议</w:t>
      </w:r>
      <w:r>
        <w:rPr>
          <w:rFonts w:ascii="宋体" w:hAnsi="宋体" w:cs="宋体" w:hint="eastAsia"/>
          <w:bCs/>
          <w:sz w:val="18"/>
          <w:szCs w:val="21"/>
        </w:rPr>
        <w:t>。</w:t>
      </w:r>
    </w:p>
    <w:p>
      <w:pPr>
        <w:pStyle w:val="af"/>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复测说明：如对于测试结果有异议，需要复检的，</w:t>
      </w:r>
      <w:r>
        <w:rPr>
          <w:rFonts w:ascii="宋体" w:hAnsi="宋体" w:cs="宋体" w:hint="eastAsia"/>
          <w:b/>
          <w:color w:val="FF0000"/>
          <w:sz w:val="18"/>
          <w:szCs w:val="21"/>
        </w:rPr>
        <w:t>仅限对原样品按原测试方法进行复检。如更换条件及方法按新样品计费</w:t>
      </w:r>
      <w:r>
        <w:rPr>
          <w:rFonts w:ascii="宋体" w:hAnsi="宋体" w:cs="宋体" w:hint="eastAsia"/>
          <w:bCs/>
          <w:sz w:val="18"/>
          <w:szCs w:val="21"/>
        </w:rPr>
        <w:t>。</w:t>
      </w:r>
    </w:p>
    <w:p>
      <w:pPr>
        <w:pStyle w:val="af"/>
        <w:numPr>
          <w:ilvl w:val="0"/>
          <w:numId w:val="2"/>
        </w:numPr>
        <w:spacing w:line="276" w:lineRule="auto"/>
        <w:ind w:firstLineChars="0"/>
        <w:jc w:val="left"/>
        <w:rPr>
          <w:rFonts w:ascii="宋体" w:hAnsi="宋体" w:cs="宋体"/>
          <w:bCs/>
          <w:sz w:val="18"/>
          <w:szCs w:val="21"/>
        </w:rPr>
      </w:pPr>
      <w:r>
        <w:rPr>
          <w:rFonts w:ascii="宋体" w:hAnsi="宋体" w:cs="宋体" w:hint="eastAsia"/>
          <w:bCs/>
          <w:sz w:val="18"/>
          <w:szCs w:val="21"/>
        </w:rPr>
        <w:t>未按照送样单内指定的实验条件或者由于测试人员操作失误，导致的结果不准确，可免费复测；</w:t>
      </w:r>
    </w:p>
    <w:p>
      <w:pPr>
        <w:pStyle w:val="af"/>
        <w:numPr>
          <w:ilvl w:val="0"/>
          <w:numId w:val="2"/>
        </w:numPr>
        <w:spacing w:line="276" w:lineRule="auto"/>
        <w:ind w:firstLineChars="0"/>
        <w:jc w:val="left"/>
        <w:rPr>
          <w:rFonts w:ascii="宋体" w:hAnsi="宋体" w:cs="宋体"/>
          <w:bCs/>
          <w:sz w:val="18"/>
          <w:szCs w:val="21"/>
        </w:rPr>
      </w:pPr>
      <w:r>
        <w:rPr>
          <w:rFonts w:ascii="宋体" w:hAnsi="宋体" w:cs="宋体" w:hint="eastAsia"/>
          <w:bCs/>
          <w:sz w:val="18"/>
          <w:szCs w:val="21"/>
        </w:rPr>
        <w:t xml:space="preserve">由于以下几种原因造成的结果有异议,复测将重新收费 </w:t>
      </w:r>
    </w:p>
    <w:p>
      <w:pPr>
        <w:pStyle w:val="af"/>
        <w:spacing w:line="276" w:lineRule="auto"/>
        <w:ind w:left="840" w:firstLineChars="0" w:firstLine="0"/>
        <w:jc w:val="left"/>
        <w:rPr>
          <w:rFonts w:ascii="宋体" w:hAnsi="宋体" w:cs="宋体"/>
          <w:bCs/>
          <w:sz w:val="18"/>
          <w:szCs w:val="21"/>
        </w:rPr>
      </w:pPr>
      <w:r>
        <w:rPr>
          <w:rFonts w:ascii="宋体" w:hAnsi="宋体" w:cs="宋体"/>
          <w:bCs/>
          <w:sz w:val="18"/>
          <w:szCs w:val="21"/>
        </w:rPr>
        <w:t>a.</w:t>
      </w:r>
      <w:r>
        <w:rPr>
          <w:rFonts w:ascii="宋体" w:hAnsi="宋体" w:cs="宋体" w:hint="eastAsia"/>
          <w:bCs/>
          <w:sz w:val="18"/>
          <w:szCs w:val="21"/>
        </w:rPr>
        <w:t xml:space="preserve">由于样品自身原因 </w:t>
      </w:r>
      <w:r>
        <w:rPr>
          <w:rFonts w:ascii="宋体" w:hAnsi="宋体" w:cs="宋体"/>
          <w:bCs/>
          <w:sz w:val="18"/>
          <w:szCs w:val="21"/>
        </w:rPr>
        <w:t xml:space="preserve">    b.</w:t>
      </w:r>
      <w:r>
        <w:rPr>
          <w:rFonts w:ascii="宋体" w:hAnsi="宋体" w:cs="宋体" w:hint="eastAsia"/>
          <w:bCs/>
          <w:sz w:val="18"/>
          <w:szCs w:val="21"/>
        </w:rPr>
        <w:t xml:space="preserve">由于实验要求不明确或提供测试方法不合适导致的结果不准确 </w:t>
      </w:r>
      <w:r>
        <w:rPr>
          <w:rFonts w:ascii="宋体" w:hAnsi="宋体" w:cs="宋体"/>
          <w:bCs/>
          <w:sz w:val="18"/>
          <w:szCs w:val="21"/>
        </w:rPr>
        <w:t xml:space="preserve"> </w:t>
      </w:r>
    </w:p>
    <w:p>
      <w:pPr>
        <w:pStyle w:val="af"/>
        <w:spacing w:line="276" w:lineRule="auto"/>
        <w:ind w:left="840" w:firstLineChars="0" w:firstLine="0"/>
        <w:jc w:val="left"/>
        <w:rPr>
          <w:rFonts w:ascii="宋体" w:hAnsi="宋体" w:cs="宋体"/>
          <w:bCs/>
          <w:sz w:val="18"/>
          <w:szCs w:val="21"/>
        </w:rPr>
      </w:pPr>
      <w:r>
        <w:rPr>
          <w:rFonts w:ascii="宋体" w:hAnsi="宋体" w:cs="宋体" w:hint="eastAsia"/>
          <w:bCs/>
          <w:sz w:val="18"/>
          <w:szCs w:val="21"/>
        </w:rPr>
        <w:t>c.实验不确定性很高，在提前预计到实验的不确定性后仍要求进行检测。</w:t>
      </w:r>
    </w:p>
    <w:p>
      <w:pPr>
        <w:pStyle w:val="af"/>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关于样品保存及回收</w:t>
      </w:r>
    </w:p>
    <w:p>
      <w:pPr>
        <w:pStyle w:val="af"/>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对于测试完毕仍有剩余的样品，我方仅保留5天时间，5天后进行销毁。</w:t>
      </w:r>
      <w:r>
        <w:rPr>
          <w:rFonts w:ascii="宋体" w:hAnsi="宋体" w:cs="宋体" w:hint="eastAsia"/>
          <w:bCs/>
          <w:sz w:val="18"/>
          <w:szCs w:val="21"/>
        </w:rPr>
        <w:t>如测试单中未注明样品回收导致的样品丢失，我方不承担责任。</w:t>
      </w:r>
    </w:p>
    <w:p>
      <w:pPr>
        <w:pStyle w:val="af"/>
        <w:numPr>
          <w:ilvl w:val="1"/>
          <w:numId w:val="3"/>
        </w:numPr>
        <w:spacing w:line="276" w:lineRule="auto"/>
        <w:ind w:firstLineChars="0"/>
        <w:jc w:val="left"/>
        <w:rPr>
          <w:rFonts w:ascii="宋体" w:hAnsi="宋体" w:cs="宋体"/>
          <w:bCs/>
          <w:color w:val="000000" w:themeColor="text1"/>
          <w:sz w:val="18"/>
          <w:szCs w:val="21"/>
        </w:rPr>
      </w:pPr>
      <w:r>
        <w:rPr>
          <w:rFonts w:ascii="宋体" w:hAnsi="宋体" w:cs="宋体" w:hint="eastAsia"/>
          <w:bCs/>
          <w:color w:val="000000" w:themeColor="text1"/>
          <w:sz w:val="18"/>
          <w:szCs w:val="21"/>
        </w:rPr>
        <w:t>送检样品一般不建议回收，</w:t>
      </w:r>
      <w:r>
        <w:rPr>
          <w:rFonts w:ascii="宋体" w:hAnsi="宋体" w:cs="宋体" w:hint="eastAsia"/>
          <w:color w:val="000000" w:themeColor="text1"/>
          <w:sz w:val="18"/>
          <w:szCs w:val="21"/>
        </w:rPr>
        <w:t>回收收取2</w:t>
      </w:r>
      <w:r>
        <w:rPr>
          <w:rFonts w:ascii="宋体" w:hAnsi="宋体" w:cs="宋体"/>
          <w:color w:val="000000" w:themeColor="text1"/>
          <w:sz w:val="18"/>
          <w:szCs w:val="21"/>
        </w:rPr>
        <w:t>5</w:t>
      </w:r>
      <w:r>
        <w:rPr>
          <w:rFonts w:ascii="宋体" w:hAnsi="宋体" w:cs="宋体" w:hint="eastAsia"/>
          <w:color w:val="000000" w:themeColor="text1"/>
          <w:sz w:val="18"/>
          <w:szCs w:val="21"/>
        </w:rPr>
        <w:t>元回收费</w:t>
      </w:r>
      <w:r>
        <w:rPr>
          <w:rFonts w:ascii="宋体" w:hAnsi="宋体" w:cs="宋体" w:hint="eastAsia"/>
          <w:b/>
          <w:bCs/>
          <w:color w:val="FF0000"/>
          <w:sz w:val="18"/>
          <w:szCs w:val="21"/>
        </w:rPr>
        <w:t>（大件以及特殊样品回收另算）</w:t>
      </w:r>
      <w:r>
        <w:rPr>
          <w:rFonts w:ascii="宋体" w:hAnsi="宋体" w:cs="宋体" w:hint="eastAsia"/>
          <w:bCs/>
          <w:color w:val="000000" w:themeColor="text1"/>
          <w:sz w:val="18"/>
          <w:szCs w:val="21"/>
        </w:rPr>
        <w:t>，需</w:t>
      </w:r>
      <w:r>
        <w:rPr>
          <w:rFonts w:ascii="宋体" w:hAnsi="宋体" w:cs="宋体" w:hint="eastAsia"/>
          <w:b/>
          <w:bCs/>
          <w:color w:val="FF0000"/>
          <w:sz w:val="18"/>
          <w:szCs w:val="21"/>
        </w:rPr>
        <w:t>回收样品请在</w:t>
      </w:r>
      <w:r>
        <w:rPr>
          <w:rFonts w:ascii="宋体" w:hAnsi="宋体" w:cs="宋体" w:hint="eastAsia"/>
          <w:b/>
          <w:color w:val="FF0000"/>
          <w:sz w:val="18"/>
          <w:szCs w:val="21"/>
        </w:rPr>
        <w:t>发送测试结果之后5天内与我方工作人员进行反馈回收</w:t>
      </w:r>
      <w:r>
        <w:rPr>
          <w:rFonts w:ascii="宋体" w:hAnsi="宋体" w:cs="宋体" w:hint="eastAsia"/>
          <w:bCs/>
          <w:color w:val="000000" w:themeColor="text1"/>
          <w:sz w:val="18"/>
          <w:szCs w:val="21"/>
        </w:rPr>
        <w:t>，我方再安排样品回收，如因未及时与我方工作人员说明回收，导致样品丢失的，我方不承担责任。</w:t>
      </w:r>
    </w:p>
    <w:p>
      <w:pPr>
        <w:pStyle w:val="af"/>
        <w:numPr>
          <w:ilvl w:val="1"/>
          <w:numId w:val="3"/>
        </w:numPr>
        <w:spacing w:line="276" w:lineRule="auto"/>
        <w:ind w:firstLineChars="0"/>
        <w:jc w:val="left"/>
        <w:rPr>
          <w:rFonts w:ascii="宋体" w:hAnsi="宋体" w:cs="宋体"/>
          <w:bCs/>
          <w:sz w:val="18"/>
          <w:szCs w:val="21"/>
        </w:rPr>
      </w:pPr>
      <w:r>
        <w:rPr>
          <w:rFonts w:ascii="宋体" w:hAnsi="宋体" w:cs="宋体" w:hint="eastAsia"/>
          <w:bCs/>
          <w:sz w:val="18"/>
          <w:szCs w:val="21"/>
        </w:rPr>
        <w:t>由于回收过程比较繁琐，涉及到物流收发，样品管理及出入库等环节，有可能造成样品的丢失或者损伤，</w:t>
      </w:r>
      <w:r>
        <w:rPr>
          <w:rFonts w:ascii="宋体" w:hAnsi="宋体" w:cs="宋体" w:hint="eastAsia"/>
          <w:b/>
          <w:bCs/>
          <w:color w:val="FF0000"/>
          <w:sz w:val="18"/>
          <w:szCs w:val="21"/>
        </w:rPr>
        <w:t>选择回收的样品发生损坏或者丢失，按照当次测试费金额赔付，最高不超过5</w:t>
      </w:r>
      <w:r>
        <w:rPr>
          <w:rFonts w:ascii="宋体" w:hAnsi="宋体" w:cs="宋体"/>
          <w:b/>
          <w:bCs/>
          <w:color w:val="FF0000"/>
          <w:sz w:val="18"/>
          <w:szCs w:val="21"/>
        </w:rPr>
        <w:t>00</w:t>
      </w:r>
      <w:r>
        <w:rPr>
          <w:rFonts w:ascii="宋体" w:hAnsi="宋体" w:cs="宋体" w:hint="eastAsia"/>
          <w:b/>
          <w:bCs/>
          <w:color w:val="FF0000"/>
          <w:sz w:val="18"/>
          <w:szCs w:val="21"/>
        </w:rPr>
        <w:t>元/批样品。（同一天送样算作一批），</w:t>
      </w:r>
    </w:p>
    <w:p>
      <w:pPr>
        <w:pStyle w:val="af"/>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如有易损坏、腐败、变性等样品请提前与我方沟通，</w:t>
      </w:r>
      <w:r>
        <w:rPr>
          <w:rFonts w:ascii="宋体" w:hAnsi="宋体" w:cs="宋体" w:hint="eastAsia"/>
          <w:bCs/>
          <w:sz w:val="18"/>
          <w:szCs w:val="21"/>
        </w:rPr>
        <w:t>并将样品自行做好包装，</w:t>
      </w:r>
      <w:r>
        <w:rPr>
          <w:rFonts w:ascii="宋体" w:hAnsi="宋体" w:cs="宋体" w:hint="eastAsia"/>
          <w:b/>
          <w:bCs/>
          <w:color w:val="FF0000"/>
          <w:sz w:val="18"/>
          <w:szCs w:val="21"/>
        </w:rPr>
        <w:t>送样备注好样品保存条件，保存期限等内容</w:t>
      </w:r>
      <w:r>
        <w:rPr>
          <w:rFonts w:ascii="宋体" w:hAnsi="宋体" w:cs="宋体" w:hint="eastAsia"/>
          <w:bCs/>
          <w:sz w:val="18"/>
          <w:szCs w:val="21"/>
        </w:rPr>
        <w:t>，我方将按照保存条件进行保存，未提供此项条件的，我方将默认按照室温空气条件保存。</w:t>
      </w:r>
    </w:p>
    <w:p>
      <w:pPr>
        <w:pStyle w:val="af"/>
        <w:numPr>
          <w:ilvl w:val="1"/>
          <w:numId w:val="3"/>
        </w:numPr>
        <w:spacing w:line="276" w:lineRule="auto"/>
        <w:ind w:firstLineChars="0"/>
        <w:jc w:val="left"/>
        <w:rPr>
          <w:rFonts w:ascii="宋体" w:hAnsi="宋体" w:cs="宋体"/>
          <w:bCs/>
          <w:sz w:val="18"/>
          <w:szCs w:val="21"/>
        </w:rPr>
      </w:pPr>
      <w:r>
        <w:rPr>
          <w:rFonts w:ascii="宋体" w:hAnsi="宋体" w:cs="宋体" w:hint="eastAsia"/>
          <w:b/>
          <w:bCs/>
          <w:color w:val="FF0000"/>
          <w:sz w:val="18"/>
          <w:szCs w:val="21"/>
        </w:rPr>
        <w:t>珍贵样品送样务必提前说明，并做好样品备份工作</w:t>
      </w:r>
      <w:r>
        <w:rPr>
          <w:rFonts w:ascii="宋体" w:hAnsi="宋体" w:cs="宋体" w:hint="eastAsia"/>
          <w:bCs/>
          <w:sz w:val="18"/>
          <w:szCs w:val="21"/>
        </w:rPr>
        <w:t>，我方将尽量进行妥善保管，但因测试过程涉及环节较多，可能导致样品损耗及损失，此种情况下我方只能按照赔付标准进行赔付。</w:t>
      </w:r>
    </w:p>
    <w:p>
      <w:pPr>
        <w:pStyle w:val="af"/>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样品要求：</w:t>
      </w:r>
    </w:p>
    <w:p>
      <w:pPr>
        <w:pStyle w:val="af"/>
        <w:numPr>
          <w:ilvl w:val="0"/>
          <w:numId w:val="4"/>
        </w:numPr>
        <w:spacing w:line="276" w:lineRule="auto"/>
        <w:ind w:firstLineChars="0"/>
        <w:jc w:val="left"/>
        <w:rPr>
          <w:rFonts w:ascii="宋体" w:hAnsi="宋体" w:cs="宋体"/>
          <w:bCs/>
          <w:sz w:val="18"/>
          <w:szCs w:val="21"/>
        </w:rPr>
      </w:pPr>
      <w:r>
        <w:rPr>
          <w:rFonts w:ascii="宋体" w:hAnsi="宋体" w:cs="宋体" w:hint="eastAsia"/>
          <w:bCs/>
          <w:sz w:val="18"/>
          <w:szCs w:val="21"/>
        </w:rPr>
        <w:t>液体</w:t>
      </w:r>
      <w:proofErr w:type="gramStart"/>
      <w:r>
        <w:rPr>
          <w:rFonts w:ascii="宋体" w:hAnsi="宋体" w:cs="宋体" w:hint="eastAsia"/>
          <w:bCs/>
          <w:sz w:val="18"/>
          <w:szCs w:val="21"/>
        </w:rPr>
        <w:t>样需要</w:t>
      </w:r>
      <w:proofErr w:type="gramEnd"/>
      <w:r>
        <w:rPr>
          <w:rFonts w:ascii="宋体" w:hAnsi="宋体" w:cs="宋体"/>
          <w:bCs/>
          <w:sz w:val="18"/>
          <w:szCs w:val="21"/>
        </w:rPr>
        <w:t>10</w:t>
      </w:r>
      <w:r>
        <w:rPr>
          <w:rFonts w:ascii="宋体" w:hAnsi="宋体" w:cs="宋体" w:hint="eastAsia"/>
          <w:bCs/>
          <w:sz w:val="18"/>
          <w:szCs w:val="21"/>
        </w:rPr>
        <w:t>ml以上；</w:t>
      </w:r>
    </w:p>
    <w:p>
      <w:pPr>
        <w:pStyle w:val="af"/>
        <w:numPr>
          <w:ilvl w:val="0"/>
          <w:numId w:val="4"/>
        </w:numPr>
        <w:spacing w:line="276" w:lineRule="auto"/>
        <w:ind w:firstLineChars="0"/>
        <w:jc w:val="left"/>
        <w:rPr>
          <w:rFonts w:ascii="宋体" w:hAnsi="宋体" w:cs="宋体"/>
          <w:bCs/>
          <w:sz w:val="18"/>
          <w:szCs w:val="21"/>
        </w:rPr>
      </w:pPr>
      <w:r>
        <w:rPr>
          <w:rFonts w:ascii="宋体" w:hAnsi="宋体" w:cs="宋体" w:hint="eastAsia"/>
          <w:bCs/>
          <w:sz w:val="18"/>
          <w:szCs w:val="21"/>
        </w:rPr>
        <w:t>粉末材料1</w:t>
      </w:r>
      <w:r>
        <w:rPr>
          <w:rFonts w:ascii="宋体" w:hAnsi="宋体" w:cs="宋体"/>
          <w:bCs/>
          <w:sz w:val="18"/>
          <w:szCs w:val="21"/>
        </w:rPr>
        <w:t>50</w:t>
      </w:r>
      <w:r>
        <w:rPr>
          <w:rFonts w:ascii="宋体" w:hAnsi="宋体" w:cs="宋体" w:hint="eastAsia"/>
          <w:bCs/>
          <w:sz w:val="18"/>
          <w:szCs w:val="21"/>
        </w:rPr>
        <w:t>mg以上，需处理到粒径1</w:t>
      </w:r>
      <w:r>
        <w:rPr>
          <w:rFonts w:ascii="宋体" w:hAnsi="宋体" w:cs="宋体"/>
          <w:bCs/>
          <w:sz w:val="18"/>
          <w:szCs w:val="21"/>
        </w:rPr>
        <w:t>50</w:t>
      </w:r>
      <w:r>
        <w:rPr>
          <w:rFonts w:ascii="宋体" w:hAnsi="宋体" w:cs="宋体" w:hint="eastAsia"/>
          <w:bCs/>
          <w:sz w:val="18"/>
          <w:szCs w:val="21"/>
        </w:rPr>
        <w:t>um以下（过1</w:t>
      </w:r>
      <w:r>
        <w:rPr>
          <w:rFonts w:ascii="宋体" w:hAnsi="宋体" w:cs="宋体"/>
          <w:bCs/>
          <w:sz w:val="18"/>
          <w:szCs w:val="21"/>
        </w:rPr>
        <w:t>00</w:t>
      </w:r>
      <w:r>
        <w:rPr>
          <w:rFonts w:ascii="宋体" w:hAnsi="宋体" w:cs="宋体" w:hint="eastAsia"/>
          <w:bCs/>
          <w:sz w:val="18"/>
          <w:szCs w:val="21"/>
        </w:rPr>
        <w:t>目筛），如</w:t>
      </w:r>
      <w:proofErr w:type="gramStart"/>
      <w:r>
        <w:rPr>
          <w:rFonts w:ascii="宋体" w:hAnsi="宋体" w:cs="宋体" w:hint="eastAsia"/>
          <w:bCs/>
          <w:sz w:val="18"/>
          <w:szCs w:val="21"/>
        </w:rPr>
        <w:t>也需测</w:t>
      </w:r>
      <w:proofErr w:type="gramEnd"/>
      <w:r>
        <w:rPr>
          <w:rFonts w:ascii="宋体" w:hAnsi="宋体" w:cs="宋体" w:hint="eastAsia"/>
          <w:bCs/>
          <w:sz w:val="18"/>
          <w:szCs w:val="21"/>
        </w:rPr>
        <w:t>T</w:t>
      </w:r>
      <w:r>
        <w:rPr>
          <w:rFonts w:ascii="宋体" w:hAnsi="宋体" w:cs="宋体"/>
          <w:bCs/>
          <w:sz w:val="18"/>
          <w:szCs w:val="21"/>
        </w:rPr>
        <w:t>C</w:t>
      </w:r>
      <w:r>
        <w:rPr>
          <w:rFonts w:ascii="宋体" w:hAnsi="宋体" w:cs="宋体" w:hint="eastAsia"/>
          <w:bCs/>
          <w:sz w:val="18"/>
          <w:szCs w:val="21"/>
        </w:rPr>
        <w:t>值，则样品量加倍。</w:t>
      </w:r>
    </w:p>
    <w:p>
      <w:pPr>
        <w:pStyle w:val="af"/>
        <w:numPr>
          <w:ilvl w:val="0"/>
          <w:numId w:val="1"/>
        </w:numPr>
        <w:spacing w:line="276" w:lineRule="auto"/>
        <w:ind w:firstLineChars="0"/>
        <w:jc w:val="left"/>
        <w:rPr>
          <w:rFonts w:ascii="宋体" w:hAnsi="宋体" w:cs="宋体"/>
          <w:bCs/>
          <w:sz w:val="18"/>
          <w:szCs w:val="21"/>
        </w:rPr>
      </w:pPr>
      <w:r>
        <w:rPr>
          <w:rFonts w:ascii="宋体" w:hAnsi="宋体" w:cs="宋体" w:hint="eastAsia"/>
          <w:bCs/>
          <w:sz w:val="18"/>
          <w:szCs w:val="21"/>
        </w:rPr>
        <w:t>注意事项：</w:t>
      </w:r>
    </w:p>
    <w:p>
      <w:pPr>
        <w:pStyle w:val="af"/>
        <w:numPr>
          <w:ilvl w:val="0"/>
          <w:numId w:val="5"/>
        </w:numPr>
        <w:spacing w:line="276" w:lineRule="auto"/>
        <w:ind w:firstLineChars="0"/>
        <w:jc w:val="left"/>
        <w:rPr>
          <w:rFonts w:ascii="宋体" w:hAnsi="宋体" w:cs="宋体"/>
          <w:bCs/>
          <w:sz w:val="18"/>
          <w:szCs w:val="21"/>
        </w:rPr>
      </w:pPr>
      <w:r>
        <w:rPr>
          <w:rFonts w:ascii="宋体" w:hAnsi="宋体" w:cs="宋体" w:hint="eastAsia"/>
          <w:bCs/>
          <w:sz w:val="18"/>
          <w:szCs w:val="21"/>
        </w:rPr>
        <w:t>液体样品</w:t>
      </w:r>
      <w:r>
        <w:rPr>
          <w:rFonts w:ascii="宋体" w:hAnsi="宋体" w:cs="宋体"/>
          <w:bCs/>
          <w:sz w:val="18"/>
          <w:szCs w:val="21"/>
        </w:rPr>
        <w:t>不得含有硫酸、磷酸等不能挥发的无机酸；尽量不要含有其他无机酸，测试前请自行中和</w:t>
      </w:r>
      <w:r>
        <w:rPr>
          <w:rFonts w:ascii="宋体" w:hAnsi="宋体" w:cs="宋体" w:hint="eastAsia"/>
          <w:bCs/>
          <w:sz w:val="18"/>
          <w:szCs w:val="21"/>
        </w:rPr>
        <w:t>；</w:t>
      </w:r>
    </w:p>
    <w:p>
      <w:pPr>
        <w:pStyle w:val="af"/>
        <w:numPr>
          <w:ilvl w:val="0"/>
          <w:numId w:val="5"/>
        </w:numPr>
        <w:spacing w:line="276" w:lineRule="auto"/>
        <w:ind w:firstLineChars="0"/>
        <w:jc w:val="left"/>
        <w:rPr>
          <w:rFonts w:ascii="宋体" w:hAnsi="宋体" w:cs="宋体"/>
          <w:bCs/>
          <w:sz w:val="18"/>
          <w:szCs w:val="21"/>
        </w:rPr>
      </w:pPr>
      <w:r>
        <w:rPr>
          <w:rFonts w:ascii="宋体" w:hAnsi="宋体" w:cs="宋体" w:hint="eastAsia"/>
          <w:bCs/>
          <w:sz w:val="18"/>
          <w:szCs w:val="21"/>
        </w:rPr>
        <w:t>为保证测试效果，请大致注明样品TOC浓度，如浓度太高或者太低会影响测试效果，一般浓度值控制在1</w:t>
      </w:r>
      <w:r>
        <w:rPr>
          <w:rFonts w:ascii="宋体" w:hAnsi="宋体" w:cs="宋体"/>
          <w:bCs/>
          <w:sz w:val="18"/>
          <w:szCs w:val="21"/>
        </w:rPr>
        <w:t>-100</w:t>
      </w:r>
      <w:r>
        <w:rPr>
          <w:rFonts w:ascii="宋体" w:hAnsi="宋体" w:cs="宋体" w:hint="eastAsia"/>
          <w:bCs/>
          <w:sz w:val="18"/>
          <w:szCs w:val="21"/>
        </w:rPr>
        <w:t>ppm之间效果最好，若浓度太高请自行稀释。</w:t>
      </w:r>
    </w:p>
    <w:p>
      <w:pPr>
        <w:pStyle w:val="af"/>
        <w:numPr>
          <w:ilvl w:val="0"/>
          <w:numId w:val="5"/>
        </w:numPr>
        <w:spacing w:line="276" w:lineRule="auto"/>
        <w:ind w:firstLineChars="0"/>
        <w:jc w:val="left"/>
        <w:rPr>
          <w:rFonts w:ascii="宋体" w:hAnsi="宋体" w:cs="宋体"/>
          <w:bCs/>
          <w:sz w:val="18"/>
          <w:szCs w:val="21"/>
        </w:rPr>
      </w:pPr>
      <w:r>
        <w:rPr>
          <w:rFonts w:ascii="宋体" w:hAnsi="宋体" w:cs="宋体"/>
          <w:bCs/>
          <w:sz w:val="18"/>
          <w:szCs w:val="21"/>
        </w:rPr>
        <w:t>测试前请自行过滤样品至澄清透明状态、不含不溶性固体（使用0.45μm滤膜），乳浊液</w:t>
      </w:r>
      <w:r>
        <w:rPr>
          <w:rFonts w:ascii="宋体" w:hAnsi="宋体" w:cs="宋体" w:hint="eastAsia"/>
          <w:bCs/>
          <w:sz w:val="18"/>
          <w:szCs w:val="21"/>
        </w:rPr>
        <w:t>由于样品不均匀，</w:t>
      </w:r>
      <w:r>
        <w:rPr>
          <w:rFonts w:ascii="宋体" w:hAnsi="宋体" w:cs="宋体"/>
          <w:bCs/>
          <w:sz w:val="18"/>
          <w:szCs w:val="21"/>
        </w:rPr>
        <w:t>可能会导致测试结果误差较大</w:t>
      </w:r>
      <w:r>
        <w:rPr>
          <w:rFonts w:ascii="宋体" w:hAnsi="宋体" w:cs="宋体" w:hint="eastAsia"/>
          <w:bCs/>
          <w:sz w:val="18"/>
          <w:szCs w:val="21"/>
        </w:rPr>
        <w:t>，请确认风险之后再进行送样安排；</w:t>
      </w:r>
    </w:p>
    <w:p>
      <w:pPr>
        <w:pStyle w:val="af"/>
        <w:numPr>
          <w:ilvl w:val="0"/>
          <w:numId w:val="5"/>
        </w:numPr>
        <w:spacing w:line="276" w:lineRule="auto"/>
        <w:ind w:firstLineChars="0"/>
        <w:jc w:val="left"/>
        <w:rPr>
          <w:rFonts w:ascii="宋体" w:hAnsi="宋体" w:cs="宋体"/>
          <w:bCs/>
          <w:sz w:val="18"/>
          <w:szCs w:val="21"/>
        </w:rPr>
      </w:pPr>
      <w:r>
        <w:rPr>
          <w:rFonts w:ascii="宋体" w:hAnsi="宋体" w:cs="宋体" w:hint="eastAsia"/>
          <w:bCs/>
          <w:sz w:val="18"/>
          <w:szCs w:val="21"/>
        </w:rPr>
        <w:t>固体TOC测试，仪器给出</w:t>
      </w:r>
      <w:proofErr w:type="gramStart"/>
      <w:r>
        <w:rPr>
          <w:rFonts w:ascii="宋体" w:hAnsi="宋体" w:cs="宋体" w:hint="eastAsia"/>
          <w:bCs/>
          <w:sz w:val="18"/>
          <w:szCs w:val="21"/>
        </w:rPr>
        <w:t>总碳值</w:t>
      </w:r>
      <w:proofErr w:type="gramEnd"/>
      <w:r>
        <w:rPr>
          <w:rFonts w:ascii="宋体" w:hAnsi="宋体" w:cs="宋体" w:hint="eastAsia"/>
          <w:bCs/>
          <w:sz w:val="18"/>
          <w:szCs w:val="21"/>
        </w:rPr>
        <w:t>（TC），若需得到TOC数据，需要提前将样品酸化去除无机碳（TIC）进行测定得到T</w:t>
      </w:r>
      <w:r>
        <w:rPr>
          <w:rFonts w:ascii="宋体" w:hAnsi="宋体" w:cs="宋体"/>
          <w:bCs/>
          <w:sz w:val="18"/>
          <w:szCs w:val="21"/>
        </w:rPr>
        <w:t>OC</w:t>
      </w:r>
      <w:r>
        <w:rPr>
          <w:rFonts w:ascii="宋体" w:hAnsi="宋体" w:cs="宋体" w:hint="eastAsia"/>
          <w:bCs/>
          <w:sz w:val="18"/>
          <w:szCs w:val="21"/>
        </w:rPr>
        <w:t>值，如果需要得到T</w:t>
      </w:r>
      <w:r>
        <w:rPr>
          <w:rFonts w:ascii="宋体" w:hAnsi="宋体" w:cs="宋体"/>
          <w:bCs/>
          <w:sz w:val="18"/>
          <w:szCs w:val="21"/>
        </w:rPr>
        <w:t>IC</w:t>
      </w:r>
      <w:r>
        <w:rPr>
          <w:rFonts w:ascii="宋体" w:hAnsi="宋体" w:cs="宋体" w:hint="eastAsia"/>
          <w:bCs/>
          <w:sz w:val="18"/>
          <w:szCs w:val="21"/>
        </w:rPr>
        <w:t>值，需通过测定TC与TOC之后，</w:t>
      </w:r>
      <w:proofErr w:type="gramStart"/>
      <w:r>
        <w:rPr>
          <w:rFonts w:ascii="宋体" w:hAnsi="宋体" w:cs="宋体" w:hint="eastAsia"/>
          <w:bCs/>
          <w:sz w:val="18"/>
          <w:szCs w:val="21"/>
        </w:rPr>
        <w:t>通过减差法</w:t>
      </w:r>
      <w:proofErr w:type="gramEnd"/>
      <w:r>
        <w:rPr>
          <w:rFonts w:ascii="宋体" w:hAnsi="宋体" w:cs="宋体" w:hint="eastAsia"/>
          <w:bCs/>
          <w:sz w:val="18"/>
          <w:szCs w:val="21"/>
        </w:rPr>
        <w:t>得到。</w:t>
      </w:r>
    </w:p>
    <w:p>
      <w:pPr>
        <w:pStyle w:val="af"/>
        <w:numPr>
          <w:ilvl w:val="0"/>
          <w:numId w:val="5"/>
        </w:numPr>
        <w:spacing w:line="276" w:lineRule="auto"/>
        <w:ind w:firstLineChars="0"/>
        <w:jc w:val="left"/>
        <w:rPr>
          <w:rFonts w:ascii="宋体" w:hAnsi="宋体" w:cs="宋体"/>
          <w:bCs/>
          <w:sz w:val="18"/>
          <w:szCs w:val="21"/>
        </w:rPr>
      </w:pPr>
      <w:r>
        <w:rPr>
          <w:rFonts w:ascii="宋体" w:hAnsi="宋体" w:cs="宋体" w:hint="eastAsia"/>
          <w:bCs/>
          <w:sz w:val="18"/>
          <w:szCs w:val="21"/>
        </w:rPr>
        <w:t>常规固体方法采用高温催化燃烧氧化-非色散红外检测，也可通过化学氧化法 （重铬酸钾高温氧化法）测试，化学法只能得到T</w:t>
      </w:r>
      <w:r>
        <w:rPr>
          <w:rFonts w:ascii="宋体" w:hAnsi="宋体" w:cs="宋体"/>
          <w:bCs/>
          <w:sz w:val="18"/>
          <w:szCs w:val="21"/>
        </w:rPr>
        <w:t>OC</w:t>
      </w:r>
      <w:r>
        <w:rPr>
          <w:rFonts w:ascii="宋体" w:hAnsi="宋体" w:cs="宋体" w:hint="eastAsia"/>
          <w:bCs/>
          <w:sz w:val="18"/>
          <w:szCs w:val="21"/>
        </w:rPr>
        <w:t>值。岩石样品也可参考GBT 19145-2022进行测试。送样请注明测试标准，不说明一般按照高温催化燃烧氧化-非色散红外进行检测。液体一般用高温催化燃烧氧化-非色散红外测试。</w:t>
      </w:r>
    </w:p>
    <w:p>
      <w:pPr>
        <w:spacing w:line="360" w:lineRule="auto"/>
        <w:jc w:val="left"/>
        <w:rPr>
          <w:rFonts w:ascii="宋体" w:hAnsi="宋体" w:cs="宋体"/>
          <w:b/>
          <w:sz w:val="22"/>
          <w:szCs w:val="22"/>
        </w:rPr>
      </w:pPr>
    </w:p>
    <w:p>
      <w:pPr>
        <w:spacing w:line="360" w:lineRule="auto"/>
        <w:rPr>
          <w:rFonts w:ascii="宋体" w:hAnsi="宋体" w:cs="宋体"/>
          <w:bCs/>
          <w:szCs w:val="21"/>
        </w:rPr>
      </w:pPr>
    </w:p>
    <w:p>
      <w:pPr>
        <w:tabs>
          <w:tab w:val="left" w:pos="690"/>
          <w:tab w:val="center" w:pos="5102"/>
        </w:tabs>
        <w:spacing w:afterLines="50" w:after="156" w:line="360" w:lineRule="auto"/>
        <w:jc w:val="center"/>
        <w:rPr>
          <w:rFonts w:ascii="华文楷体" w:eastAsia="华文楷体" w:hAnsi="华文楷体"/>
          <w:b/>
          <w:sz w:val="36"/>
          <w:szCs w:val="36"/>
        </w:rPr>
      </w:pPr>
      <w:r>
        <w:rPr>
          <w:rFonts w:ascii="华文楷体" w:eastAsia="华文楷体" w:hAnsi="华文楷体" w:hint="eastAsia"/>
          <w:b/>
          <w:sz w:val="36"/>
          <w:szCs w:val="36"/>
        </w:rPr>
        <w:lastRenderedPageBreak/>
        <w:t>送样委托单</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699"/>
        <w:gridCol w:w="2789"/>
        <w:gridCol w:w="1794"/>
        <w:gridCol w:w="3199"/>
      </w:tblGrid>
      <w:tr>
        <w:trPr>
          <w:trHeight w:val="412"/>
          <w:jc w:val="center"/>
        </w:trPr>
        <w:tc>
          <w:tcPr>
            <w:tcW w:w="467" w:type="dxa"/>
            <w:vMerge w:val="restart"/>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委托方</w:t>
            </w: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委 托 人</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导师（记账课题组）</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电话</w:t>
            </w:r>
          </w:p>
        </w:tc>
        <w:tc>
          <w:tcPr>
            <w:tcW w:w="2789" w:type="dxa"/>
            <w:vAlign w:val="center"/>
          </w:tcPr>
          <w:p>
            <w:pPr>
              <w:rPr>
                <w:rFonts w:ascii="华文楷体" w:eastAsia="华文楷体" w:hAnsi="华文楷体"/>
                <w:sz w:val="18"/>
                <w:szCs w:val="18"/>
              </w:rPr>
            </w:pPr>
          </w:p>
        </w:tc>
        <w:tc>
          <w:tcPr>
            <w:tcW w:w="179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接收数据邮箱</w:t>
            </w:r>
          </w:p>
        </w:tc>
        <w:tc>
          <w:tcPr>
            <w:tcW w:w="3199" w:type="dxa"/>
            <w:vAlign w:val="center"/>
          </w:tcPr>
          <w:p>
            <w:pPr>
              <w:rPr>
                <w:rFonts w:ascii="华文楷体" w:eastAsia="华文楷体" w:hAnsi="华文楷体"/>
                <w:sz w:val="18"/>
                <w:szCs w:val="18"/>
              </w:rPr>
            </w:pPr>
          </w:p>
        </w:tc>
      </w:tr>
      <w:tr>
        <w:trPr>
          <w:trHeight w:val="412"/>
          <w:jc w:val="center"/>
        </w:trPr>
        <w:tc>
          <w:tcPr>
            <w:tcW w:w="467" w:type="dxa"/>
            <w:vMerge/>
            <w:vAlign w:val="center"/>
          </w:tcPr>
          <w:p>
            <w:pPr>
              <w:ind w:firstLineChars="50" w:firstLine="90"/>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学校/单位名称</w:t>
            </w:r>
          </w:p>
        </w:tc>
        <w:tc>
          <w:tcPr>
            <w:tcW w:w="7782" w:type="dxa"/>
            <w:gridSpan w:val="3"/>
            <w:vAlign w:val="center"/>
          </w:tcPr>
          <w:p>
            <w:pPr>
              <w:rPr>
                <w:rFonts w:ascii="华文楷体" w:eastAsia="华文楷体" w:hAnsi="华文楷体"/>
                <w:sz w:val="18"/>
                <w:szCs w:val="18"/>
              </w:rPr>
            </w:pPr>
          </w:p>
        </w:tc>
      </w:tr>
      <w:tr>
        <w:trPr>
          <w:trHeight w:val="412"/>
          <w:jc w:val="center"/>
        </w:trPr>
        <w:tc>
          <w:tcPr>
            <w:tcW w:w="467" w:type="dxa"/>
            <w:vMerge/>
            <w:vAlign w:val="center"/>
          </w:tcPr>
          <w:p>
            <w:pPr>
              <w:jc w:val="center"/>
              <w:rPr>
                <w:rFonts w:ascii="华文楷体" w:eastAsia="华文楷体" w:hAnsi="华文楷体"/>
                <w:sz w:val="18"/>
                <w:szCs w:val="18"/>
              </w:rPr>
            </w:pPr>
          </w:p>
        </w:tc>
        <w:tc>
          <w:tcPr>
            <w:tcW w:w="1699"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邮寄地址</w:t>
            </w:r>
          </w:p>
        </w:tc>
        <w:tc>
          <w:tcPr>
            <w:tcW w:w="7782" w:type="dxa"/>
            <w:gridSpan w:val="3"/>
            <w:vAlign w:val="center"/>
          </w:tcPr>
          <w:p>
            <w:pPr>
              <w:rPr>
                <w:rFonts w:ascii="华文楷体" w:eastAsia="华文楷体" w:hAnsi="华文楷体"/>
                <w:sz w:val="18"/>
                <w:szCs w:val="18"/>
              </w:rPr>
            </w:pPr>
            <w:r>
              <w:rPr>
                <w:rFonts w:ascii="华文楷体" w:eastAsia="华文楷体" w:hAnsi="华文楷体" w:hint="eastAsia"/>
                <w:sz w:val="18"/>
                <w:szCs w:val="18"/>
              </w:rPr>
              <w:t>山东省青岛市黄岛区长江西路</w:t>
            </w:r>
            <w:r>
              <w:rPr>
                <w:rFonts w:ascii="华文楷体" w:eastAsia="华文楷体" w:hAnsi="华文楷体"/>
                <w:sz w:val="18"/>
                <w:szCs w:val="18"/>
              </w:rPr>
              <w:t>177号长江国际1523室</w:t>
            </w:r>
            <w:r>
              <w:rPr>
                <w:rFonts w:ascii="华文楷体" w:eastAsia="华文楷体" w:hAnsi="华文楷体" w:hint="eastAsia"/>
                <w:sz w:val="18"/>
                <w:szCs w:val="18"/>
              </w:rPr>
              <w:t xml:space="preserve"> 陈老师 </w:t>
            </w:r>
            <w:r>
              <w:rPr>
                <w:rFonts w:ascii="华文楷体" w:eastAsia="华文楷体" w:hAnsi="华文楷体"/>
                <w:sz w:val="18"/>
                <w:szCs w:val="18"/>
              </w:rPr>
              <w:t xml:space="preserve">17685860716 </w:t>
            </w:r>
            <w:r>
              <w:rPr>
                <w:rFonts w:ascii="华文楷体" w:eastAsia="华文楷体" w:hAnsi="华文楷体" w:hint="eastAsia"/>
                <w:color w:val="FF0000"/>
                <w:sz w:val="18"/>
                <w:szCs w:val="18"/>
              </w:rPr>
              <w:t>（青岛可上门取样</w:t>
            </w:r>
            <w:r>
              <w:rPr>
                <w:rFonts w:ascii="华文楷体" w:eastAsia="华文楷体" w:hAnsi="华文楷体"/>
                <w:color w:val="FF0000"/>
                <w:sz w:val="18"/>
                <w:szCs w:val="18"/>
              </w:rPr>
              <w:t>）</w:t>
            </w:r>
          </w:p>
        </w:tc>
      </w:tr>
    </w:tbl>
    <w:p>
      <w:pPr>
        <w:tabs>
          <w:tab w:val="left" w:pos="690"/>
          <w:tab w:val="center" w:pos="5102"/>
        </w:tabs>
        <w:spacing w:beforeLines="100" w:before="312" w:afterLines="50" w:after="156" w:line="360" w:lineRule="auto"/>
        <w:jc w:val="center"/>
        <w:rPr>
          <w:rFonts w:ascii="华文楷体" w:eastAsia="华文楷体" w:hAnsi="华文楷体"/>
          <w:b/>
          <w:sz w:val="36"/>
          <w:szCs w:val="36"/>
        </w:rPr>
      </w:pPr>
      <w:r>
        <w:rPr>
          <w:rFonts w:ascii="华文楷体" w:eastAsia="华文楷体" w:hAnsi="华文楷体" w:hint="eastAsia"/>
          <w:b/>
          <w:sz w:val="36"/>
          <w:szCs w:val="36"/>
        </w:rPr>
        <w:t>T</w:t>
      </w:r>
      <w:r>
        <w:rPr>
          <w:rFonts w:ascii="华文楷体" w:eastAsia="华文楷体" w:hAnsi="华文楷体"/>
          <w:b/>
          <w:sz w:val="36"/>
          <w:szCs w:val="36"/>
        </w:rPr>
        <w:t>OC</w:t>
      </w:r>
      <w:r>
        <w:rPr>
          <w:rFonts w:ascii="华文楷体" w:eastAsia="华文楷体" w:hAnsi="华文楷体" w:hint="eastAsia"/>
          <w:b/>
          <w:sz w:val="36"/>
          <w:szCs w:val="36"/>
        </w:rPr>
        <w:t>测试要求</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961"/>
        <w:gridCol w:w="2268"/>
        <w:gridCol w:w="1624"/>
      </w:tblGrid>
      <w:tr>
        <w:trPr>
          <w:trHeight w:val="621"/>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样品编号</w:t>
            </w:r>
          </w:p>
        </w:tc>
        <w:tc>
          <w:tcPr>
            <w:tcW w:w="4961" w:type="dxa"/>
            <w:vAlign w:val="center"/>
          </w:tcPr>
          <w:p>
            <w:pPr>
              <w:rPr>
                <w:rFonts w:ascii="华文楷体" w:eastAsia="华文楷体" w:hAnsi="华文楷体"/>
                <w:sz w:val="18"/>
                <w:szCs w:val="18"/>
              </w:rPr>
            </w:pPr>
          </w:p>
        </w:tc>
        <w:tc>
          <w:tcPr>
            <w:tcW w:w="2268" w:type="dxa"/>
            <w:vAlign w:val="center"/>
          </w:tcPr>
          <w:p>
            <w:pPr>
              <w:rPr>
                <w:rFonts w:ascii="华文楷体" w:eastAsia="华文楷体" w:hAnsi="华文楷体"/>
                <w:sz w:val="18"/>
                <w:szCs w:val="18"/>
              </w:rPr>
            </w:pPr>
            <w:r>
              <w:rPr>
                <w:rFonts w:ascii="华文楷体" w:eastAsia="华文楷体" w:hAnsi="华文楷体" w:hint="eastAsia"/>
                <w:sz w:val="18"/>
                <w:szCs w:val="18"/>
              </w:rPr>
              <w:t>样品数量</w:t>
            </w:r>
          </w:p>
        </w:tc>
        <w:tc>
          <w:tcPr>
            <w:tcW w:w="1624" w:type="dxa"/>
            <w:vAlign w:val="center"/>
          </w:tcPr>
          <w:p>
            <w:pPr>
              <w:rPr>
                <w:rFonts w:ascii="华文楷体" w:eastAsia="华文楷体" w:hAnsi="华文楷体"/>
                <w:sz w:val="18"/>
                <w:szCs w:val="18"/>
              </w:rPr>
            </w:pPr>
          </w:p>
        </w:tc>
      </w:tr>
      <w:tr>
        <w:trPr>
          <w:trHeight w:val="546"/>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样品成分</w:t>
            </w:r>
          </w:p>
        </w:tc>
        <w:tc>
          <w:tcPr>
            <w:tcW w:w="4961" w:type="dxa"/>
            <w:vAlign w:val="center"/>
          </w:tcPr>
          <w:p>
            <w:pPr>
              <w:rPr>
                <w:rFonts w:ascii="华文楷体" w:eastAsia="华文楷体" w:hAnsi="华文楷体"/>
                <w:sz w:val="18"/>
                <w:szCs w:val="18"/>
              </w:rPr>
            </w:pPr>
          </w:p>
        </w:tc>
        <w:tc>
          <w:tcPr>
            <w:tcW w:w="2268" w:type="dxa"/>
            <w:vAlign w:val="center"/>
          </w:tcPr>
          <w:p>
            <w:pPr>
              <w:rPr>
                <w:rFonts w:ascii="华文楷体" w:eastAsia="华文楷体" w:hAnsi="华文楷体"/>
                <w:sz w:val="18"/>
                <w:szCs w:val="18"/>
              </w:rPr>
            </w:pPr>
            <w:r>
              <w:rPr>
                <w:rFonts w:ascii="华文楷体" w:eastAsia="华文楷体" w:hAnsi="华文楷体" w:hint="eastAsia"/>
                <w:sz w:val="18"/>
                <w:szCs w:val="18"/>
              </w:rPr>
              <w:t>是否回收（回收费25元）</w:t>
            </w:r>
          </w:p>
        </w:tc>
        <w:tc>
          <w:tcPr>
            <w:tcW w:w="1624" w:type="dxa"/>
            <w:vAlign w:val="center"/>
          </w:tcPr>
          <w:p>
            <w:pPr>
              <w:rPr>
                <w:rFonts w:ascii="华文楷体" w:eastAsia="华文楷体" w:hAnsi="华文楷体"/>
                <w:sz w:val="18"/>
                <w:szCs w:val="18"/>
              </w:rPr>
            </w:pPr>
            <w:r>
              <w:rPr>
                <w:rFonts w:ascii="华文楷体" w:eastAsia="华文楷体" w:hAnsi="华文楷体" w:hint="eastAsia"/>
                <w:sz w:val="18"/>
                <w:szCs w:val="18"/>
              </w:rPr>
              <w:t>本项目无法回收</w:t>
            </w:r>
          </w:p>
        </w:tc>
      </w:tr>
      <w:tr>
        <w:trPr>
          <w:trHeight w:val="530"/>
        </w:trPr>
        <w:tc>
          <w:tcPr>
            <w:tcW w:w="1384" w:type="dxa"/>
            <w:vAlign w:val="center"/>
          </w:tcPr>
          <w:p>
            <w:pPr>
              <w:rPr>
                <w:rFonts w:ascii="华文楷体" w:eastAsia="华文楷体" w:hAnsi="华文楷体"/>
                <w:sz w:val="18"/>
                <w:szCs w:val="18"/>
              </w:rPr>
            </w:pPr>
            <w:r>
              <w:rPr>
                <w:rFonts w:ascii="华文楷体" w:eastAsia="华文楷体" w:hAnsi="华文楷体" w:hint="eastAsia"/>
                <w:sz w:val="18"/>
                <w:szCs w:val="18"/>
              </w:rPr>
              <w:t>存放要求</w:t>
            </w:r>
          </w:p>
        </w:tc>
        <w:tc>
          <w:tcPr>
            <w:tcW w:w="8853" w:type="dxa"/>
            <w:gridSpan w:val="3"/>
            <w:vAlign w:val="center"/>
          </w:tcPr>
          <w:p>
            <w:pPr>
              <w:rPr>
                <w:rFonts w:ascii="华文楷体" w:eastAsia="华文楷体" w:hAnsi="华文楷体"/>
                <w:sz w:val="18"/>
                <w:szCs w:val="18"/>
              </w:rPr>
            </w:pPr>
            <w:r>
              <w:rPr>
                <w:rFonts w:ascii="华文楷体" w:eastAsia="华文楷体" w:hAnsi="华文楷体" w:hint="eastAsia"/>
                <w:sz w:val="18"/>
                <w:szCs w:val="18"/>
              </w:rPr>
              <w:t>□室温（默认）   □避光     □低温</w:t>
            </w:r>
            <w:r>
              <w:rPr>
                <w:rFonts w:ascii="华文楷体" w:eastAsia="华文楷体" w:hAnsi="华文楷体" w:hint="eastAsia"/>
                <w:sz w:val="18"/>
                <w:szCs w:val="18"/>
                <w:u w:val="single"/>
              </w:rPr>
              <w:t xml:space="preserve">        </w:t>
            </w:r>
            <w:r>
              <w:rPr>
                <w:rFonts w:ascii="华文楷体" w:eastAsia="华文楷体" w:hAnsi="华文楷体" w:hint="eastAsia"/>
                <w:sz w:val="18"/>
                <w:szCs w:val="18"/>
              </w:rPr>
              <w:t xml:space="preserve">℃ </w:t>
            </w:r>
            <w:r>
              <w:rPr>
                <w:rFonts w:ascii="华文楷体" w:eastAsia="华文楷体" w:hAnsi="华文楷体"/>
                <w:sz w:val="18"/>
                <w:szCs w:val="18"/>
              </w:rPr>
              <w:t xml:space="preserve">   </w:t>
            </w:r>
            <w:r>
              <w:rPr>
                <w:rFonts w:ascii="华文楷体" w:eastAsia="华文楷体" w:hAnsi="华文楷体" w:hint="eastAsia"/>
                <w:sz w:val="18"/>
                <w:szCs w:val="18"/>
              </w:rPr>
              <w:t>其它</w:t>
            </w:r>
            <w:r>
              <w:rPr>
                <w:rFonts w:ascii="华文楷体" w:eastAsia="华文楷体" w:hAnsi="华文楷体" w:hint="eastAsia"/>
                <w:sz w:val="18"/>
                <w:szCs w:val="18"/>
                <w:u w:val="single"/>
              </w:rPr>
              <w:t xml:space="preserve">              </w:t>
            </w:r>
            <w:r>
              <w:rPr>
                <w:rFonts w:ascii="华文楷体" w:eastAsia="华文楷体" w:hAnsi="华文楷体" w:hint="eastAsia"/>
                <w:sz w:val="18"/>
                <w:szCs w:val="18"/>
              </w:rPr>
              <w:t xml:space="preserve">            </w:t>
            </w:r>
            <w:r>
              <w:rPr>
                <w:rFonts w:ascii="华文楷体" w:eastAsia="华文楷体" w:hAnsi="华文楷体"/>
                <w:sz w:val="18"/>
                <w:szCs w:val="18"/>
              </w:rPr>
              <w:t xml:space="preserve">  </w:t>
            </w:r>
            <w:r>
              <w:rPr>
                <w:rFonts w:ascii="华文楷体" w:eastAsia="华文楷体" w:hAnsi="华文楷体" w:hint="eastAsia"/>
                <w:color w:val="FF0000"/>
                <w:sz w:val="18"/>
                <w:szCs w:val="18"/>
              </w:rPr>
              <w:t xml:space="preserve">（ </w:t>
            </w:r>
            <w:r>
              <w:rPr>
                <w:rFonts w:ascii="Segoe UI Symbol" w:eastAsia="华文楷体" w:hAnsi="Segoe UI Symbol" w:cs="Segoe UI Symbol"/>
                <w:color w:val="FF0000"/>
                <w:sz w:val="18"/>
                <w:szCs w:val="18"/>
              </w:rPr>
              <w:t>☑</w:t>
            </w:r>
            <w:r>
              <w:rPr>
                <w:rFonts w:ascii="Segoe UI Symbol" w:eastAsia="华文楷体" w:hAnsi="Segoe UI Symbol" w:cs="Segoe UI Symbol" w:hint="eastAsia"/>
                <w:color w:val="FF0000"/>
                <w:sz w:val="18"/>
                <w:szCs w:val="18"/>
              </w:rPr>
              <w:t>可</w:t>
            </w:r>
            <w:r>
              <w:rPr>
                <w:rFonts w:ascii="华文楷体" w:eastAsia="华文楷体" w:hAnsi="华文楷体" w:hint="eastAsia"/>
                <w:color w:val="FF0000"/>
                <w:sz w:val="18"/>
                <w:szCs w:val="18"/>
              </w:rPr>
              <w:t>复制选框）</w:t>
            </w:r>
          </w:p>
        </w:tc>
      </w:tr>
      <w:tr>
        <w:trPr>
          <w:trHeight w:val="530"/>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危险性</w:t>
            </w:r>
          </w:p>
        </w:tc>
        <w:tc>
          <w:tcPr>
            <w:tcW w:w="8853" w:type="dxa"/>
            <w:gridSpan w:val="3"/>
            <w:vAlign w:val="center"/>
          </w:tcPr>
          <w:p>
            <w:pPr>
              <w:rPr>
                <w:rFonts w:ascii="华文楷体" w:eastAsia="华文楷体" w:hAnsi="华文楷体"/>
                <w:sz w:val="18"/>
                <w:szCs w:val="18"/>
                <w:u w:val="single"/>
              </w:rPr>
            </w:pPr>
            <w:r>
              <w:rPr>
                <w:rFonts w:ascii="华文楷体" w:eastAsia="华文楷体" w:hAnsi="华文楷体" w:cs="宋体" w:hint="eastAsia"/>
                <w:sz w:val="18"/>
                <w:szCs w:val="18"/>
              </w:rPr>
              <w:t>□</w:t>
            </w:r>
            <w:r>
              <w:rPr>
                <w:rFonts w:ascii="华文楷体" w:eastAsia="华文楷体" w:hAnsi="华文楷体" w:hint="eastAsia"/>
                <w:sz w:val="18"/>
                <w:szCs w:val="18"/>
              </w:rPr>
              <w:t>无危险</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易燃</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易爆</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毒性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放射性</w:t>
            </w:r>
            <w:r>
              <w:rPr>
                <w:rFonts w:ascii="华文楷体" w:eastAsia="华文楷体" w:hAnsi="华文楷体"/>
                <w:sz w:val="18"/>
                <w:szCs w:val="18"/>
              </w:rPr>
              <w:t xml:space="preserve">    </w:t>
            </w:r>
            <w:r>
              <w:rPr>
                <w:rFonts w:ascii="华文楷体" w:eastAsia="华文楷体" w:hAnsi="华文楷体" w:cs="宋体" w:hint="eastAsia"/>
                <w:sz w:val="18"/>
                <w:szCs w:val="18"/>
              </w:rPr>
              <w:t>□</w:t>
            </w:r>
            <w:r>
              <w:rPr>
                <w:rFonts w:ascii="华文楷体" w:eastAsia="华文楷体" w:hAnsi="华文楷体" w:hint="eastAsia"/>
                <w:sz w:val="18"/>
                <w:szCs w:val="18"/>
              </w:rPr>
              <w:t>腐蚀性</w:t>
            </w:r>
            <w:r>
              <w:rPr>
                <w:rFonts w:ascii="华文楷体" w:eastAsia="华文楷体" w:hAnsi="华文楷体"/>
                <w:sz w:val="18"/>
                <w:szCs w:val="18"/>
              </w:rPr>
              <w:t xml:space="preserve"> </w:t>
            </w:r>
            <w:r>
              <w:rPr>
                <w:rFonts w:ascii="华文楷体" w:eastAsia="华文楷体" w:hAnsi="华文楷体" w:hint="eastAsia"/>
                <w:sz w:val="18"/>
                <w:szCs w:val="18"/>
              </w:rPr>
              <w:t xml:space="preserve">  </w:t>
            </w:r>
            <w:r>
              <w:rPr>
                <w:rFonts w:ascii="华文楷体" w:eastAsia="华文楷体" w:hAnsi="华文楷体" w:cs="宋体" w:hint="eastAsia"/>
                <w:sz w:val="18"/>
                <w:szCs w:val="18"/>
              </w:rPr>
              <w:t>其他</w:t>
            </w:r>
            <w:r>
              <w:rPr>
                <w:rFonts w:ascii="华文楷体" w:eastAsia="华文楷体" w:hAnsi="华文楷体" w:cs="宋体" w:hint="eastAsia"/>
                <w:sz w:val="18"/>
                <w:szCs w:val="18"/>
                <w:u w:val="single"/>
              </w:rPr>
              <w:t xml:space="preserve">        </w:t>
            </w:r>
          </w:p>
        </w:tc>
      </w:tr>
      <w:tr>
        <w:trPr>
          <w:trHeight w:val="530"/>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是否与之前仪器保持一致</w:t>
            </w:r>
          </w:p>
        </w:tc>
        <w:tc>
          <w:tcPr>
            <w:tcW w:w="8853" w:type="dxa"/>
            <w:gridSpan w:val="3"/>
            <w:vAlign w:val="center"/>
          </w:tcPr>
          <w:p>
            <w:pPr>
              <w:spacing w:line="276" w:lineRule="auto"/>
              <w:rPr>
                <w:rFonts w:ascii="华文楷体" w:eastAsia="华文楷体" w:hAnsi="华文楷体" w:cs="宋体"/>
                <w:sz w:val="18"/>
                <w:szCs w:val="18"/>
              </w:rPr>
            </w:pPr>
            <w:r>
              <w:rPr>
                <w:rFonts w:ascii="华文楷体" w:eastAsia="华文楷体" w:hAnsi="华文楷体" w:cs="宋体" w:hint="eastAsia"/>
                <w:sz w:val="18"/>
                <w:szCs w:val="18"/>
              </w:rPr>
              <w:t>□</w:t>
            </w:r>
            <w:r>
              <w:rPr>
                <w:rFonts w:ascii="华文楷体" w:eastAsia="华文楷体" w:hAnsi="华文楷体" w:hint="eastAsia"/>
                <w:sz w:val="18"/>
                <w:szCs w:val="18"/>
              </w:rPr>
              <w:t>是，上次接收数据时间</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sz w:val="18"/>
                <w:szCs w:val="18"/>
                <w:u w:val="single"/>
              </w:rPr>
              <w:t xml:space="preserve">   </w:t>
            </w:r>
            <w:r>
              <w:rPr>
                <w:rFonts w:ascii="华文楷体" w:eastAsia="华文楷体" w:hAnsi="华文楷体" w:hint="eastAsia"/>
                <w:sz w:val="18"/>
                <w:szCs w:val="18"/>
                <w:u w:val="single"/>
              </w:rPr>
              <w:t xml:space="preserve">   </w:t>
            </w:r>
            <w:r>
              <w:rPr>
                <w:rFonts w:ascii="华文楷体" w:eastAsia="华文楷体" w:hAnsi="华文楷体" w:hint="eastAsia"/>
                <w:sz w:val="18"/>
                <w:szCs w:val="18"/>
              </w:rPr>
              <w:t xml:space="preserve">（结果名称中日期为准）       </w:t>
            </w:r>
            <w:r>
              <w:rPr>
                <w:rFonts w:ascii="华文楷体" w:eastAsia="华文楷体" w:hAnsi="华文楷体" w:cs="宋体" w:hint="eastAsia"/>
                <w:sz w:val="18"/>
                <w:szCs w:val="18"/>
              </w:rPr>
              <w:t>□</w:t>
            </w:r>
            <w:r>
              <w:rPr>
                <w:rFonts w:ascii="华文楷体" w:eastAsia="华文楷体" w:hAnsi="华文楷体" w:hint="eastAsia"/>
                <w:sz w:val="18"/>
                <w:szCs w:val="18"/>
              </w:rPr>
              <w:t>否</w:t>
            </w:r>
            <w:r>
              <w:rPr>
                <w:rFonts w:ascii="华文楷体" w:eastAsia="华文楷体" w:hAnsi="华文楷体" w:cs="宋体" w:hint="eastAsia"/>
                <w:sz w:val="18"/>
                <w:szCs w:val="18"/>
              </w:rPr>
              <w:t xml:space="preserve">（默认） </w:t>
            </w:r>
            <w:r>
              <w:rPr>
                <w:rFonts w:ascii="华文楷体" w:eastAsia="华文楷体" w:hAnsi="华文楷体" w:hint="eastAsia"/>
                <w:sz w:val="18"/>
                <w:szCs w:val="18"/>
              </w:rPr>
              <w:t xml:space="preserve"> </w:t>
            </w:r>
            <w:r>
              <w:rPr>
                <w:rFonts w:ascii="华文楷体" w:eastAsia="华文楷体" w:hAnsi="华文楷体" w:cs="宋体"/>
                <w:sz w:val="18"/>
                <w:szCs w:val="18"/>
              </w:rPr>
              <w:t xml:space="preserve"> </w:t>
            </w:r>
          </w:p>
          <w:p>
            <w:pPr>
              <w:rPr>
                <w:rFonts w:ascii="华文楷体" w:eastAsia="华文楷体" w:hAnsi="华文楷体"/>
                <w:sz w:val="18"/>
                <w:szCs w:val="18"/>
              </w:rPr>
            </w:pPr>
            <w:r>
              <w:rPr>
                <w:rFonts w:ascii="华文楷体" w:eastAsia="华文楷体" w:hAnsi="华文楷体" w:hint="eastAsia"/>
                <w:color w:val="FF0000"/>
                <w:sz w:val="18"/>
                <w:szCs w:val="18"/>
              </w:rPr>
              <w:t>注：不同测试仪器之间数据形式和效果可能存在差异，如对数据有一致性要求，请务必提前写明。</w:t>
            </w:r>
          </w:p>
        </w:tc>
      </w:tr>
      <w:tr>
        <w:trPr>
          <w:trHeight w:val="530"/>
        </w:trPr>
        <w:tc>
          <w:tcPr>
            <w:tcW w:w="1384" w:type="dxa"/>
            <w:vMerge w:val="restart"/>
            <w:vAlign w:val="center"/>
          </w:tcPr>
          <w:p>
            <w:pPr>
              <w:jc w:val="center"/>
              <w:rPr>
                <w:rFonts w:ascii="华文楷体" w:eastAsia="华文楷体" w:hAnsi="华文楷体"/>
                <w:sz w:val="18"/>
                <w:szCs w:val="18"/>
              </w:rPr>
            </w:pPr>
            <w:r>
              <w:rPr>
                <w:rFonts w:ascii="华文楷体" w:eastAsia="华文楷体" w:hAnsi="华文楷体" w:hint="eastAsia"/>
                <w:sz w:val="18"/>
                <w:szCs w:val="18"/>
              </w:rPr>
              <w:t>液体测试</w:t>
            </w:r>
          </w:p>
        </w:tc>
        <w:tc>
          <w:tcPr>
            <w:tcW w:w="8853" w:type="dxa"/>
            <w:gridSpan w:val="3"/>
            <w:vAlign w:val="center"/>
          </w:tcPr>
          <w:p>
            <w:pPr>
              <w:spacing w:line="276" w:lineRule="auto"/>
              <w:rPr>
                <w:rFonts w:ascii="华文楷体" w:eastAsia="华文楷体" w:hAnsi="华文楷体" w:cs="宋体"/>
                <w:sz w:val="18"/>
                <w:szCs w:val="18"/>
              </w:rPr>
            </w:pPr>
            <w:r>
              <w:rPr>
                <w:rFonts w:ascii="华文楷体" w:eastAsia="华文楷体" w:hAnsi="华文楷体" w:cs="宋体" w:hint="eastAsia"/>
                <w:sz w:val="18"/>
                <w:szCs w:val="18"/>
              </w:rPr>
              <w:t xml:space="preserve">样品是否需要前处理：□不需要，直接测试  </w:t>
            </w:r>
            <w:r>
              <w:rPr>
                <w:rFonts w:ascii="华文楷体" w:eastAsia="华文楷体" w:hAnsi="华文楷体" w:cs="宋体"/>
                <w:sz w:val="18"/>
                <w:szCs w:val="18"/>
              </w:rPr>
              <w:t xml:space="preserve"> </w:t>
            </w: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 xml:space="preserve"> □过滤后测试   </w:t>
            </w:r>
          </w:p>
        </w:tc>
      </w:tr>
      <w:tr>
        <w:trPr>
          <w:trHeight w:val="530"/>
        </w:trPr>
        <w:tc>
          <w:tcPr>
            <w:tcW w:w="1384" w:type="dxa"/>
            <w:vMerge/>
            <w:vAlign w:val="center"/>
          </w:tcPr>
          <w:p>
            <w:pPr>
              <w:jc w:val="center"/>
              <w:rPr>
                <w:rFonts w:ascii="华文楷体" w:eastAsia="华文楷体" w:hAnsi="华文楷体"/>
                <w:sz w:val="18"/>
                <w:szCs w:val="18"/>
              </w:rPr>
            </w:pPr>
          </w:p>
        </w:tc>
        <w:tc>
          <w:tcPr>
            <w:tcW w:w="8853" w:type="dxa"/>
            <w:gridSpan w:val="3"/>
            <w:vAlign w:val="center"/>
          </w:tcPr>
          <w:p>
            <w:pPr>
              <w:spacing w:line="276" w:lineRule="auto"/>
              <w:rPr>
                <w:rFonts w:ascii="华文楷体" w:eastAsia="华文楷体" w:hAnsi="华文楷体" w:cs="宋体"/>
                <w:sz w:val="18"/>
                <w:szCs w:val="18"/>
              </w:rPr>
            </w:pPr>
            <w:r>
              <w:rPr>
                <w:rFonts w:ascii="华文楷体" w:eastAsia="华文楷体" w:hAnsi="华文楷体" w:cs="宋体" w:hint="eastAsia"/>
                <w:sz w:val="18"/>
                <w:szCs w:val="18"/>
              </w:rPr>
              <w:t>测定内容：□T</w:t>
            </w:r>
            <w:r>
              <w:rPr>
                <w:rFonts w:ascii="华文楷体" w:eastAsia="华文楷体" w:hAnsi="华文楷体" w:cs="宋体"/>
                <w:sz w:val="18"/>
                <w:szCs w:val="18"/>
              </w:rPr>
              <w:t>OC</w:t>
            </w:r>
            <w:r>
              <w:rPr>
                <w:rFonts w:ascii="华文楷体" w:eastAsia="华文楷体" w:hAnsi="华文楷体" w:cs="宋体" w:hint="eastAsia"/>
                <w:sz w:val="18"/>
                <w:szCs w:val="18"/>
              </w:rPr>
              <w:t>（T</w:t>
            </w:r>
            <w:r>
              <w:rPr>
                <w:rFonts w:ascii="华文楷体" w:eastAsia="华文楷体" w:hAnsi="华文楷体" w:cs="宋体"/>
                <w:sz w:val="18"/>
                <w:szCs w:val="18"/>
              </w:rPr>
              <w:t>C-IC</w:t>
            </w:r>
            <w:r>
              <w:rPr>
                <w:rFonts w:ascii="华文楷体" w:eastAsia="华文楷体" w:hAnsi="华文楷体" w:cs="宋体" w:hint="eastAsia"/>
                <w:sz w:val="18"/>
                <w:szCs w:val="18"/>
              </w:rPr>
              <w:t xml:space="preserve">值） </w:t>
            </w:r>
            <w:r>
              <w:rPr>
                <w:rFonts w:ascii="华文楷体" w:eastAsia="华文楷体" w:hAnsi="华文楷体" w:cs="宋体"/>
                <w:sz w:val="18"/>
                <w:szCs w:val="18"/>
              </w:rPr>
              <w:t xml:space="preserve">           </w:t>
            </w:r>
            <w:r>
              <w:rPr>
                <w:rFonts w:ascii="华文楷体" w:eastAsia="华文楷体" w:hAnsi="华文楷体" w:cs="宋体" w:hint="eastAsia"/>
                <w:sz w:val="18"/>
                <w:szCs w:val="18"/>
              </w:rPr>
              <w:t>□T</w:t>
            </w:r>
            <w:r>
              <w:rPr>
                <w:rFonts w:ascii="华文楷体" w:eastAsia="华文楷体" w:hAnsi="华文楷体" w:cs="宋体"/>
                <w:sz w:val="18"/>
                <w:szCs w:val="18"/>
              </w:rPr>
              <w:t>OC(</w:t>
            </w:r>
            <w:r>
              <w:rPr>
                <w:rFonts w:ascii="华文楷体" w:eastAsia="华文楷体" w:hAnsi="华文楷体" w:cs="宋体" w:hint="eastAsia"/>
                <w:sz w:val="18"/>
                <w:szCs w:val="18"/>
              </w:rPr>
              <w:t>N</w:t>
            </w:r>
            <w:r>
              <w:rPr>
                <w:rFonts w:ascii="华文楷体" w:eastAsia="华文楷体" w:hAnsi="华文楷体" w:cs="宋体"/>
                <w:sz w:val="18"/>
                <w:szCs w:val="18"/>
              </w:rPr>
              <w:t>POC</w:t>
            </w:r>
            <w:r>
              <w:rPr>
                <w:rFonts w:ascii="华文楷体" w:eastAsia="华文楷体" w:hAnsi="华文楷体" w:cs="宋体" w:hint="eastAsia"/>
                <w:sz w:val="18"/>
                <w:szCs w:val="18"/>
              </w:rPr>
              <w:t>值</w:t>
            </w:r>
            <w:r>
              <w:rPr>
                <w:rFonts w:ascii="华文楷体" w:eastAsia="华文楷体" w:hAnsi="华文楷体" w:cs="宋体"/>
                <w:sz w:val="18"/>
                <w:szCs w:val="18"/>
              </w:rPr>
              <w:t xml:space="preserve">)              </w:t>
            </w:r>
            <w:r>
              <w:rPr>
                <w:rFonts w:ascii="华文楷体" w:eastAsia="华文楷体" w:hAnsi="华文楷体" w:cs="宋体" w:hint="eastAsia"/>
                <w:sz w:val="18"/>
                <w:szCs w:val="18"/>
              </w:rPr>
              <w:t>□T</w:t>
            </w:r>
            <w:r>
              <w:rPr>
                <w:rFonts w:ascii="华文楷体" w:eastAsia="华文楷体" w:hAnsi="华文楷体" w:cs="宋体"/>
                <w:sz w:val="18"/>
                <w:szCs w:val="18"/>
              </w:rPr>
              <w:t>N</w:t>
            </w:r>
          </w:p>
          <w:p>
            <w:pPr>
              <w:spacing w:line="276" w:lineRule="auto"/>
              <w:rPr>
                <w:rFonts w:ascii="华文楷体" w:eastAsia="华文楷体" w:hAnsi="华文楷体" w:cs="宋体"/>
                <w:sz w:val="18"/>
                <w:szCs w:val="18"/>
              </w:rPr>
            </w:pPr>
            <w:r>
              <w:rPr>
                <w:rFonts w:ascii="华文楷体" w:eastAsia="华文楷体" w:hAnsi="华文楷体" w:cs="宋体" w:hint="eastAsia"/>
                <w:sz w:val="18"/>
                <w:szCs w:val="18"/>
              </w:rPr>
              <w:t>大致含量：□</w:t>
            </w:r>
            <w:r>
              <w:rPr>
                <w:rFonts w:ascii="华文楷体" w:eastAsia="华文楷体" w:hAnsi="华文楷体" w:cs="宋体" w:hint="eastAsia"/>
                <w:sz w:val="18"/>
                <w:szCs w:val="18"/>
                <w:u w:val="single"/>
              </w:rPr>
              <w:t xml:space="preserve"> </w:t>
            </w:r>
            <w:r>
              <w:rPr>
                <w:rFonts w:ascii="华文楷体" w:eastAsia="华文楷体" w:hAnsi="华文楷体" w:cs="宋体"/>
                <w:sz w:val="18"/>
                <w:szCs w:val="18"/>
                <w:u w:val="single"/>
              </w:rPr>
              <w:t xml:space="preserve">               </w:t>
            </w:r>
            <w:r>
              <w:rPr>
                <w:rFonts w:ascii="华文楷体" w:eastAsia="华文楷体" w:hAnsi="华文楷体" w:cs="宋体" w:hint="eastAsia"/>
                <w:sz w:val="18"/>
                <w:szCs w:val="18"/>
              </w:rPr>
              <w:t>mg</w:t>
            </w:r>
            <w:r>
              <w:rPr>
                <w:rFonts w:ascii="华文楷体" w:eastAsia="华文楷体" w:hAnsi="华文楷体" w:cs="宋体"/>
                <w:sz w:val="18"/>
                <w:szCs w:val="18"/>
              </w:rPr>
              <w:t xml:space="preserve">/L         </w:t>
            </w:r>
            <w:r>
              <w:rPr>
                <w:rFonts w:ascii="华文楷体" w:eastAsia="华文楷体" w:hAnsi="华文楷体" w:cs="宋体" w:hint="eastAsia"/>
                <w:sz w:val="18"/>
                <w:szCs w:val="18"/>
              </w:rPr>
              <w:t>□不清楚</w:t>
            </w:r>
          </w:p>
        </w:tc>
      </w:tr>
      <w:tr>
        <w:trPr>
          <w:trHeight w:val="88"/>
        </w:trPr>
        <w:tc>
          <w:tcPr>
            <w:tcW w:w="1384" w:type="dxa"/>
            <w:vMerge w:val="restart"/>
            <w:vAlign w:val="center"/>
          </w:tcPr>
          <w:p>
            <w:pPr>
              <w:jc w:val="center"/>
              <w:rPr>
                <w:rFonts w:ascii="华文楷体" w:eastAsia="华文楷体" w:hAnsi="华文楷体"/>
                <w:sz w:val="18"/>
                <w:szCs w:val="18"/>
              </w:rPr>
            </w:pPr>
            <w:r>
              <w:rPr>
                <w:rFonts w:ascii="华文楷体" w:eastAsia="华文楷体" w:hAnsi="华文楷体" w:hint="eastAsia"/>
                <w:sz w:val="18"/>
                <w:szCs w:val="18"/>
              </w:rPr>
              <w:t>固体测试</w:t>
            </w:r>
          </w:p>
        </w:tc>
        <w:tc>
          <w:tcPr>
            <w:tcW w:w="8853" w:type="dxa"/>
            <w:gridSpan w:val="3"/>
          </w:tcPr>
          <w:p>
            <w:pPr>
              <w:spacing w:beforeLines="50" w:before="156" w:afterLines="50" w:after="156"/>
              <w:ind w:left="90" w:hangingChars="50" w:hanging="90"/>
              <w:rPr>
                <w:rFonts w:ascii="华文楷体" w:eastAsia="华文楷体" w:hAnsi="华文楷体" w:cs="宋体"/>
                <w:sz w:val="18"/>
                <w:szCs w:val="18"/>
              </w:rPr>
            </w:pPr>
            <w:r>
              <w:rPr>
                <w:rFonts w:ascii="华文楷体" w:eastAsia="华文楷体" w:hAnsi="华文楷体" w:cs="宋体" w:hint="eastAsia"/>
                <w:sz w:val="18"/>
                <w:szCs w:val="18"/>
              </w:rPr>
              <w:t xml:space="preserve">样品是否需要前处理：□不需要，直接测试  </w:t>
            </w:r>
            <w:r>
              <w:rPr>
                <w:rFonts w:ascii="华文楷体" w:eastAsia="华文楷体" w:hAnsi="华文楷体" w:cs="宋体"/>
                <w:sz w:val="18"/>
                <w:szCs w:val="18"/>
              </w:rPr>
              <w:t xml:space="preserve"> </w:t>
            </w: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 xml:space="preserve"> □破碎研磨之后测试</w:t>
            </w:r>
          </w:p>
        </w:tc>
      </w:tr>
      <w:tr>
        <w:trPr>
          <w:trHeight w:val="88"/>
        </w:trPr>
        <w:tc>
          <w:tcPr>
            <w:tcW w:w="1384" w:type="dxa"/>
            <w:vMerge/>
            <w:vAlign w:val="center"/>
          </w:tcPr>
          <w:p>
            <w:pPr>
              <w:jc w:val="center"/>
              <w:rPr>
                <w:rFonts w:ascii="华文楷体" w:eastAsia="华文楷体" w:hAnsi="华文楷体"/>
                <w:sz w:val="18"/>
                <w:szCs w:val="18"/>
              </w:rPr>
            </w:pPr>
          </w:p>
        </w:tc>
        <w:tc>
          <w:tcPr>
            <w:tcW w:w="8853" w:type="dxa"/>
            <w:gridSpan w:val="3"/>
          </w:tcPr>
          <w:p>
            <w:pPr>
              <w:pStyle w:val="1"/>
              <w:shd w:val="clear" w:color="auto" w:fill="FFFFFF"/>
              <w:spacing w:before="0" w:line="360" w:lineRule="atLeast"/>
              <w:jc w:val="both"/>
              <w:rPr>
                <w:rFonts w:ascii="华文楷体" w:eastAsia="华文楷体" w:hAnsi="华文楷体" w:cs="宋体"/>
                <w:sz w:val="18"/>
                <w:szCs w:val="18"/>
              </w:rPr>
            </w:pPr>
            <w:r>
              <w:rPr>
                <w:rFonts w:ascii="华文楷体" w:eastAsia="华文楷体" w:hAnsi="华文楷体" w:cs="宋体" w:hint="eastAsia"/>
                <w:sz w:val="18"/>
                <w:szCs w:val="18"/>
              </w:rPr>
              <w:t>测定内容：□T</w:t>
            </w:r>
            <w:r>
              <w:rPr>
                <w:rFonts w:ascii="华文楷体" w:eastAsia="华文楷体" w:hAnsi="华文楷体" w:cs="宋体"/>
                <w:sz w:val="18"/>
                <w:szCs w:val="18"/>
              </w:rPr>
              <w:t>OC</w:t>
            </w: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w:t>
            </w:r>
            <w:r>
              <w:rPr>
                <w:rFonts w:ascii="华文楷体" w:eastAsia="华文楷体" w:hAnsi="华文楷体" w:cs="宋体"/>
                <w:sz w:val="18"/>
                <w:szCs w:val="18"/>
              </w:rPr>
              <w:t xml:space="preserve">TC      </w:t>
            </w:r>
          </w:p>
          <w:p>
            <w:pPr>
              <w:pStyle w:val="1"/>
              <w:shd w:val="clear" w:color="auto" w:fill="FFFFFF"/>
              <w:spacing w:before="0" w:line="360" w:lineRule="atLeast"/>
              <w:jc w:val="both"/>
              <w:rPr>
                <w:rFonts w:ascii="华文楷体" w:eastAsia="华文楷体" w:hAnsi="华文楷体" w:cs="宋体"/>
                <w:sz w:val="18"/>
                <w:szCs w:val="18"/>
              </w:rPr>
            </w:pPr>
            <w:r>
              <w:rPr>
                <w:rFonts w:ascii="华文楷体" w:eastAsia="华文楷体" w:hAnsi="华文楷体" w:cs="宋体" w:hint="eastAsia"/>
                <w:sz w:val="18"/>
                <w:szCs w:val="18"/>
              </w:rPr>
              <w:t xml:space="preserve"> </w:t>
            </w:r>
            <w:r>
              <w:rPr>
                <w:rFonts w:ascii="华文楷体" w:eastAsia="华文楷体" w:hAnsi="华文楷体" w:cs="宋体"/>
                <w:sz w:val="18"/>
                <w:szCs w:val="18"/>
              </w:rPr>
              <w:t xml:space="preserve">        </w:t>
            </w:r>
            <w:r>
              <w:rPr>
                <w:rFonts w:ascii="华文楷体" w:eastAsia="华文楷体" w:hAnsi="华文楷体" w:cs="宋体" w:hint="eastAsia"/>
                <w:sz w:val="18"/>
                <w:szCs w:val="18"/>
              </w:rPr>
              <w:t>□化学法测定T</w:t>
            </w:r>
            <w:r>
              <w:rPr>
                <w:rFonts w:ascii="华文楷体" w:eastAsia="华文楷体" w:hAnsi="华文楷体" w:cs="宋体"/>
                <w:sz w:val="18"/>
                <w:szCs w:val="18"/>
              </w:rPr>
              <w:t>OC</w:t>
            </w:r>
            <w:r>
              <w:rPr>
                <w:rFonts w:ascii="华文楷体" w:eastAsia="华文楷体" w:hAnsi="华文楷体" w:cs="宋体" w:hint="eastAsia"/>
                <w:sz w:val="18"/>
                <w:szCs w:val="18"/>
              </w:rPr>
              <w:t xml:space="preserve">（铬酸钾外加热法） </w:t>
            </w:r>
            <w:r>
              <w:rPr>
                <w:rFonts w:ascii="华文楷体" w:eastAsia="华文楷体" w:hAnsi="华文楷体" w:cs="宋体"/>
                <w:sz w:val="18"/>
                <w:szCs w:val="18"/>
              </w:rPr>
              <w:t xml:space="preserve">     </w:t>
            </w:r>
            <w:r>
              <w:rPr>
                <w:rFonts w:ascii="华文楷体" w:eastAsia="华文楷体" w:hAnsi="华文楷体" w:cs="宋体" w:hint="eastAsia"/>
                <w:sz w:val="18"/>
                <w:szCs w:val="18"/>
              </w:rPr>
              <w:t>□岩石样品T</w:t>
            </w:r>
            <w:r>
              <w:rPr>
                <w:rFonts w:ascii="华文楷体" w:eastAsia="华文楷体" w:hAnsi="华文楷体" w:cs="宋体"/>
                <w:sz w:val="18"/>
                <w:szCs w:val="18"/>
              </w:rPr>
              <w:t>OC</w:t>
            </w:r>
            <w:r>
              <w:rPr>
                <w:rFonts w:ascii="华文楷体" w:eastAsia="华文楷体" w:hAnsi="华文楷体" w:cs="宋体" w:hint="eastAsia"/>
                <w:sz w:val="18"/>
                <w:szCs w:val="18"/>
              </w:rPr>
              <w:t>测定（标准GBT 19145-2022） </w:t>
            </w:r>
          </w:p>
        </w:tc>
      </w:tr>
      <w:tr>
        <w:trPr>
          <w:trHeight w:val="1174"/>
        </w:trPr>
        <w:tc>
          <w:tcPr>
            <w:tcW w:w="1384" w:type="dxa"/>
            <w:vAlign w:val="center"/>
          </w:tcPr>
          <w:p>
            <w:pPr>
              <w:jc w:val="center"/>
              <w:rPr>
                <w:rFonts w:ascii="华文楷体" w:eastAsia="华文楷体" w:hAnsi="华文楷体"/>
                <w:sz w:val="18"/>
                <w:szCs w:val="18"/>
              </w:rPr>
            </w:pPr>
            <w:r>
              <w:rPr>
                <w:rFonts w:ascii="华文楷体" w:eastAsia="华文楷体" w:hAnsi="华文楷体" w:hint="eastAsia"/>
                <w:sz w:val="18"/>
                <w:szCs w:val="18"/>
              </w:rPr>
              <w:t>备注</w:t>
            </w:r>
          </w:p>
        </w:tc>
        <w:tc>
          <w:tcPr>
            <w:tcW w:w="8853" w:type="dxa"/>
            <w:gridSpan w:val="3"/>
          </w:tcPr>
          <w:p>
            <w:pPr>
              <w:spacing w:beforeLines="50" w:before="156" w:afterLines="50" w:after="156"/>
              <w:rPr>
                <w:rFonts w:ascii="华文楷体" w:eastAsia="华文楷体" w:hAnsi="华文楷体" w:cs="宋体"/>
                <w:color w:val="FF0000"/>
                <w:sz w:val="18"/>
                <w:szCs w:val="18"/>
              </w:rPr>
            </w:pPr>
            <w:r>
              <w:rPr>
                <w:rFonts w:ascii="华文楷体" w:eastAsia="华文楷体" w:hAnsi="华文楷体" w:cs="宋体" w:hint="eastAsia"/>
                <w:color w:val="FF0000"/>
                <w:sz w:val="18"/>
                <w:szCs w:val="18"/>
              </w:rPr>
              <w:t>如有特殊测试要求，请进行说明。</w:t>
            </w:r>
          </w:p>
          <w:p>
            <w:pPr>
              <w:spacing w:beforeLines="50" w:before="156" w:afterLines="50" w:after="156"/>
              <w:rPr>
                <w:rFonts w:ascii="华文楷体" w:eastAsia="华文楷体" w:hAnsi="华文楷体" w:cs="宋体"/>
                <w:color w:val="FF0000"/>
                <w:sz w:val="18"/>
                <w:szCs w:val="18"/>
                <w:u w:val="single"/>
              </w:rPr>
            </w:pPr>
          </w:p>
          <w:p>
            <w:pPr>
              <w:spacing w:beforeLines="50" w:before="156" w:afterLines="50" w:after="156"/>
              <w:rPr>
                <w:rFonts w:ascii="华文楷体" w:eastAsia="华文楷体" w:hAnsi="华文楷体" w:cs="宋体"/>
                <w:color w:val="FF0000"/>
                <w:sz w:val="18"/>
                <w:szCs w:val="18"/>
                <w:u w:val="single"/>
              </w:rPr>
            </w:pPr>
          </w:p>
        </w:tc>
      </w:tr>
    </w:tbl>
    <w:p>
      <w:pPr>
        <w:rPr>
          <w:rFonts w:ascii="华文楷体" w:eastAsia="华文楷体" w:hAnsi="华文楷体"/>
        </w:rPr>
      </w:pPr>
    </w:p>
    <w:sectPr>
      <w:headerReference w:type="even" r:id="rId9"/>
      <w:headerReference w:type="default" r:id="rId10"/>
      <w:footerReference w:type="even" r:id="rId11"/>
      <w:footerReference w:type="default" r:id="rId12"/>
      <w:headerReference w:type="first" r:id="rId13"/>
      <w:footerReference w:type="first" r:id="rId14"/>
      <w:pgSz w:w="11906" w:h="16838"/>
      <w:pgMar w:top="567" w:right="1020" w:bottom="567" w:left="1020" w:header="397" w:footer="39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华文行楷">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16"/>
      <w:ind w:firstLineChars="200" w:firstLine="420"/>
      <w:rPr>
        <w:rFonts w:eastAsia="华文行楷"/>
        <w:sz w:val="21"/>
        <w:szCs w:val="21"/>
      </w:rPr>
    </w:pPr>
    <w:r>
      <w:rPr>
        <w:rFonts w:eastAsia="华文行楷"/>
        <w:sz w:val="21"/>
        <w:szCs w:val="21"/>
      </w:rPr>
      <w:t>公司电话：</w:t>
    </w:r>
    <w:r>
      <w:rPr>
        <w:rFonts w:eastAsia="华文行楷"/>
        <w:sz w:val="21"/>
        <w:szCs w:val="21"/>
      </w:rPr>
      <w:t xml:space="preserve">0532 8675 9646          </w:t>
    </w:r>
    <w:r>
      <w:rPr>
        <w:rFonts w:eastAsia="华文行楷"/>
        <w:sz w:val="21"/>
        <w:szCs w:val="21"/>
      </w:rPr>
      <w:t>手机号</w:t>
    </w:r>
    <w:r>
      <w:rPr>
        <w:rFonts w:eastAsia="华文行楷"/>
        <w:sz w:val="21"/>
        <w:szCs w:val="21"/>
      </w:rPr>
      <w:t>/</w:t>
    </w:r>
    <w:r>
      <w:rPr>
        <w:rFonts w:eastAsia="华文行楷"/>
        <w:sz w:val="21"/>
        <w:szCs w:val="21"/>
      </w:rPr>
      <w:t>企业微信：</w:t>
    </w:r>
    <w:r>
      <w:rPr>
        <w:rFonts w:eastAsia="华文行楷"/>
        <w:sz w:val="21"/>
        <w:szCs w:val="21"/>
      </w:rPr>
      <w:t>176 8586 0716        QQ</w:t>
    </w:r>
    <w:r>
      <w:rPr>
        <w:rFonts w:eastAsia="华文行楷"/>
        <w:sz w:val="21"/>
        <w:szCs w:val="21"/>
      </w:rPr>
      <w:t>号：</w:t>
    </w:r>
    <w:r>
      <w:rPr>
        <w:rFonts w:eastAsia="华文行楷"/>
        <w:sz w:val="21"/>
        <w:szCs w:val="21"/>
      </w:rPr>
      <w:t>158 497 1764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681pt;height:202.5pt;rotation:315;z-index:-251650048;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4" type="#_x0000_t136" style="position:absolute;left:0;text-align:left;margin-left:0;margin-top:0;width:480pt;height:143.25pt;rotation:315;z-index:-251652096;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2" type="#_x0000_t136" style="position:absolute;left:0;text-align:left;margin-left:0;margin-top:0;width:8in;height:36pt;z-index:-251654144;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2" o:spid="_x0000_s2050" type="#_x0000_t136" style="position:absolute;left:0;text-align:left;margin-left:0;margin-top:0;width:199.5pt;height:39.75pt;rotation:315;z-index:-251656192;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rPr>
        <w:rFonts w:ascii="Times New Roman" w:hAnsi="Times New Roman" w:cs="Times New Roman"/>
      </w:rPr>
    </w:pPr>
    <w:r>
      <w:rPr>
        <w:rFonts w:ascii="Times New Roman" w:eastAsia="华文行楷" w:hAnsi="Times New Roman" w:cs="Times New Roman"/>
        <w:b/>
        <w:sz w:val="21"/>
        <w:szCs w:val="21"/>
      </w:rPr>
      <w:t>U</w:t>
    </w:r>
    <w:r>
      <w:rPr>
        <w:rFonts w:ascii="Times New Roman" w:eastAsia="华文行楷" w:hAnsi="Times New Roman" w:cs="Times New Roman"/>
        <w:b/>
        <w:sz w:val="21"/>
        <w:szCs w:val="21"/>
      </w:rPr>
      <w:t>科研</w:t>
    </w:r>
    <w:r>
      <w:rPr>
        <w:rFonts w:ascii="Times New Roman" w:eastAsia="华文行楷" w:hAnsi="Times New Roman" w:cs="Times New Roman"/>
        <w:b/>
        <w:sz w:val="21"/>
        <w:szCs w:val="21"/>
      </w:rPr>
      <w:t xml:space="preserve">—www.ukeyan.com                                    </w:t>
    </w:r>
    <w:r>
      <w:rPr>
        <w:rFonts w:ascii="Times New Roman" w:eastAsia="华文行楷" w:hAnsi="Times New Roman" w:cs="Times New Roman"/>
        <w:b/>
        <w:sz w:val="21"/>
        <w:szCs w:val="21"/>
      </w:rPr>
      <w:t>让实验更简单，让科研更高效</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681pt;height:202.5pt;rotation:315;z-index:-251651072;mso-position-horizontal:center;mso-position-horizontal-relative:margin;mso-position-vertical:center;mso-position-vertical-relative:margin;mso-width-relative:page;mso-height-relative:page" o:allowincell="f" fillcolor="#36f" stroked="f">
          <v:textpath style="font-family:&quot;方正水柱简体&quot;;font-size:96pt" trim="t" fitpath="t" string="中科百测"/>
          <o:lock v:ext="edit" text="f"/>
          <w10:wrap anchorx="margin" anchory="margin"/>
        </v:shape>
      </w:pict>
    </w:r>
    <w:r>
      <w:pict>
        <v:shape id="_x0000_s2053" type="#_x0000_t136" style="position:absolute;left:0;text-align:left;margin-left:0;margin-top:0;width:480pt;height:143.25pt;rotation:315;z-index:-251653120;mso-position-horizontal:center;mso-position-horizontal-relative:margin;mso-position-vertical:center;mso-position-vertical-relative:margin;mso-width-relative:page;mso-height-relative:page" o:allowincell="f" fillcolor="blue" stroked="f">
          <v:fill opacity=".5"/>
          <v:textpath style="font-family:&quot;方正水柱简体&quot;;font-size:96pt" trim="t" fitpath="t" string="中科百测"/>
          <o:lock v:ext="edit" text="f"/>
          <w10:wrap anchorx="margin" anchory="margin"/>
        </v:shape>
      </w:pict>
    </w:r>
    <w:r>
      <w:pict>
        <v:shape id="_x0000_s2051" type="#_x0000_t136" style="position:absolute;left:0;text-align:left;margin-left:0;margin-top:0;width:8in;height:36pt;z-index:-251655168;mso-position-horizontal:center;mso-position-horizontal-relative:margin;mso-position-vertical:center;mso-position-vertical-relative:margin;mso-width-relative:page;mso-height-relative:page" o:allowincell="f" fillcolor="#36f" stroked="f">
          <v:textpath style="font-family:&quot;宋体&quot;" trim="t" fitpath="t" string="如不进行元素价态分析该项可不填写"/>
          <o:lock v:ext="edit" text="f"/>
          <w10:wrap anchorx="margin" anchory="margin"/>
        </v:shape>
      </w:pict>
    </w:r>
    <w:r>
      <w:pict>
        <v:shape id="PowerPlusWaterMarkObject1" o:spid="_x0000_s2049" type="#_x0000_t136" style="position:absolute;left:0;text-align:left;margin-left:0;margin-top:0;width:199.5pt;height:39.75pt;rotation:315;z-index:-251657216;mso-position-horizontal:center;mso-position-horizontal-relative:margin;mso-position-vertical:center;mso-position-vertical-relative:margin;mso-width-relative:page;mso-height-relative:page" o:allowincell="f" fillcolor="#36f" stroked="f">
          <v:fill opacity=".5"/>
          <v:textpath style="font-family:&quot;宋体&quot;;font-size:40pt" trim="t" fitpath="t" string="公司绝密31"/>
          <o:lock v:ext="edit" text="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5082"/>
    <w:multiLevelType w:val="hybridMultilevel"/>
    <w:tmpl w:val="8DAA36AA"/>
    <w:lvl w:ilvl="0" w:tplc="B8E84A58">
      <w:numFmt w:val="bullet"/>
      <w:lvlText w:val="□"/>
      <w:lvlJc w:val="left"/>
      <w:pPr>
        <w:ind w:left="360" w:hanging="360"/>
      </w:pPr>
      <w:rPr>
        <w:rFonts w:ascii="华文楷体" w:eastAsia="华文楷体" w:hAnsi="华文楷体"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495581"/>
    <w:multiLevelType w:val="multilevel"/>
    <w:tmpl w:val="0D4955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897053B"/>
    <w:multiLevelType w:val="multilevel"/>
    <w:tmpl w:val="4897053B"/>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5D03521"/>
    <w:multiLevelType w:val="multilevel"/>
    <w:tmpl w:val="65D03521"/>
    <w:lvl w:ilvl="0">
      <w:start w:val="1"/>
      <w:numFmt w:val="decimal"/>
      <w:lvlText w:val="%1."/>
      <w:lvlJc w:val="left"/>
      <w:pPr>
        <w:ind w:left="420" w:hanging="420"/>
      </w:p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E5E636B"/>
    <w:multiLevelType w:val="multilevel"/>
    <w:tmpl w:val="6E5E636B"/>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73D1772F"/>
    <w:multiLevelType w:val="multilevel"/>
    <w:tmpl w:val="73D1772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ZlYjMxZjUzYmZlNmYzMWEyODFhZDIzODZjYzNiNmYifQ=="/>
  </w:docVar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6E85F050-E463-453F-88F2-1E4773BD9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widowControl/>
      <w:spacing w:before="240"/>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uiPriority w:val="99"/>
    <w:semiHidden/>
    <w:unhideWhenUsed/>
    <w:pPr>
      <w:spacing w:beforeAutospacing="1" w:afterAutospacing="1"/>
      <w:jc w:val="left"/>
    </w:pPr>
    <w:rPr>
      <w:kern w:val="0"/>
      <w:sz w:val="24"/>
    </w:rPr>
  </w:style>
  <w:style w:type="character" w:styleId="ac">
    <w:name w:val="Strong"/>
    <w:basedOn w:val="a0"/>
    <w:uiPriority w:val="22"/>
    <w:qFormat/>
    <w:rPr>
      <w:b/>
    </w:rPr>
  </w:style>
  <w:style w:type="character" w:styleId="ad">
    <w:name w:val="Hyperlink"/>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p16">
    <w:name w:val="p16"/>
    <w:basedOn w:val="a"/>
    <w:qFormat/>
    <w:pPr>
      <w:widowControl/>
      <w:jc w:val="left"/>
    </w:pPr>
    <w:rPr>
      <w:kern w:val="0"/>
      <w:sz w:val="18"/>
      <w:szCs w:val="18"/>
    </w:rPr>
  </w:style>
  <w:style w:type="character" w:customStyle="1" w:styleId="10">
    <w:name w:val="标题 1 字符"/>
    <w:basedOn w:val="a0"/>
    <w:link w:val="1"/>
    <w:qFormat/>
    <w:rPr>
      <w:rFonts w:ascii="Times New Roman" w:eastAsia="宋体" w:hAnsi="Times New Roman" w:cs="Times New Roman"/>
      <w:sz w:val="28"/>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
    <w:name w:val="List Paragraph"/>
    <w:basedOn w:val="a"/>
    <w:uiPriority w:val="99"/>
    <w:qFormat/>
    <w:pPr>
      <w:ind w:firstLineChars="200" w:firstLine="420"/>
    </w:pPr>
  </w:style>
  <w:style w:type="character" w:customStyle="1" w:styleId="a4">
    <w:name w:val="批注文字 字符"/>
    <w:basedOn w:val="a0"/>
    <w:link w:val="a3"/>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18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2054"/>
    <customShpInfo spid="_x0000_s2052"/>
    <customShpInfo spid="_x0000_s2050"/>
    <customShpInfo spid="_x0000_s2055"/>
    <customShpInfo spid="_x0000_s2053"/>
    <customShpInfo spid="_x0000_s2051"/>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6D62D-3EDC-4AD9-8E9D-BC789867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86151</dc:creator>
  <cp:lastModifiedBy>admin</cp:lastModifiedBy>
  <cp:revision>85</cp:revision>
  <cp:lastPrinted>2019-01-16T08:10:00Z</cp:lastPrinted>
  <dcterms:created xsi:type="dcterms:W3CDTF">2017-04-04T08:33:00Z</dcterms:created>
  <dcterms:modified xsi:type="dcterms:W3CDTF">2024-08-30T02:36:00Z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3DF88B1E00C14DB59613CE05B0EA7799</vt:lpwstr>
  </property>
</Properties>
</file>